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RAHALI AZHAR</w:t>
            </w:r>
          </w:p>
          <w:p w:rsidR="00C275A3" w:rsidRDefault="00CA6B74" w:rsidP="00C275A3">
            <w:pPr>
              <w:pStyle w:val="Hallgatokepzes"/>
            </w:pPr>
            <w:r w:rsidRPr="001067CD">
              <w:rPr>
                <w:i/>
              </w:rPr>
              <w:t>azharrahali23@gmail.com</w:t>
            </w:r>
            <w:r w:rsidRPr="001067CD">
              <w:rPr>
                <w:i/>
              </w:rPr>
              <w:br/>
            </w:r>
            <w:r w:rsidR="00A96AEC">
              <w:t>Epitész</w:t>
            </w:r>
            <w:r w:rsidR="00A96AEC">
              <w:br/>
            </w:r>
            <w:r w:rsidR="00E77B23">
              <w:t>MSc, 3. félév</w:t>
            </w:r>
          </w:p>
          <w:p w:rsidR="00C265CE" w:rsidRPr="009E5FF1" w:rsidRDefault="00E77B23" w:rsidP="00BA6BAF">
            <w:pPr>
              <w:pStyle w:val="Hallgatointezmeny-kar"/>
              <w:rPr>
                <w:b/>
                <w:caps/>
              </w:rPr>
            </w:pPr>
            <w:r>
              <w:t>Óbudai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Csanády Gábor Mátyás</w:t>
            </w:r>
          </w:p>
          <w:p w:rsidR="00DB4822" w:rsidRDefault="00DB4822" w:rsidP="00BA6BAF">
            <w:pPr>
              <w:pStyle w:val="Konzulensektitulus"/>
            </w:pPr>
            <w:r w:rsidRPr="00DB4822">
              <w:t>egyetemi tanár, OE YBL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Sacralization and Contemporary Use: An Exploration of Sacred Architecture in The Arab Maghreb</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reszakralizáció; szakrális építészet; örökségvédelem; új közösségi funkció; kultúrális identitás</w:t>
      </w:r>
      <w:r>
        <w:t xml:space="preserve"/>
      </w:r>
    </w:p>
    <w:p>
      <w:pPr>
        <w:widowControl w:val="on"/>
        <w:pBdr/>
        <w:spacing w:before="240" w:after="240" w:line="240" w:lineRule="auto"/>
        <w:ind w:left="0" w:right="0"/>
        <w:jc w:val="left"/>
      </w:pPr>
      <w:r>
        <w:rPr>
          <w:color w:val="000000"/>
          <w:sz w:val="24"/>
          <w:szCs w:val="24"/>
        </w:rPr>
        <w:t xml:space="preserve">This research explores the dynamic interaction between resacralization and the contemporary use of sacred monumental architecture in some countries of the Arab Maghreb. It highlights the challenges involved and offers some viable solutions. It focuses on the evolution of some mosques, churches, and synagogues…as they transform into vibrant community centers, museums, or places of culture while maintaining sacredness.</w:t>
      </w:r>
      <w:r>
        <w:rPr>
          <w:color w:val="000000"/>
          <w:sz w:val="24"/>
          <w:szCs w:val="24"/>
        </w:rPr>
        <w:br/>
        <w:t xml:space="preserve">This study addresses the architectural ideas, strategies, and techniques used to preserve the spiritual identity of these structures on the one hand, and ways to adapt to new social functions on the other hand. It critically explores the challenges of preserving the sacred essence during modernization, addressing aspects such as material preservation, spatial reconfiguration, and the integration of modern amenities. Through a Detailed analysis of case studies, this paper highlights how heritage preservation can be balanced with the regenerative needs of urban communities through innovative architectural interventions. Ultimately, these sacred places contribute to strengthening social cohesion and the continuity of cultural identity, which contributes to connecting the past with the present in an integrated manner.</w:t>
      </w:r>
    </w:p>
    <w:p>
      <w:pPr>
        <w:widowControl w:val="on"/>
        <w:pBdr/>
        <w:spacing w:before="240" w:after="240" w:line="240" w:lineRule="auto"/>
        <w:ind w:left="0" w:right="0"/>
        <w:jc w:val="left"/>
      </w:pPr>
      <w:r>
        <w:rPr>
          <w:color w:val="000000"/>
          <w:sz w:val="24"/>
          <w:szCs w:val="24"/>
        </w:rPr>
        <w:br/>
        <w:t xml:space="preserve">Keywords: resacralization, contemporary use, sacred architecture, cultural adaptation, heritage conservation, social functionality, community spaces, architectural transformation, cultural identity…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56512">
    <w:multiLevelType w:val="hybridMultilevel"/>
    <w:lvl w:ilvl="0" w:tplc="91340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56512">
    <w:abstractNumId w:val="19456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381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