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MAJA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szalai.maja.anna@gmail.com</w:t>
            </w:r>
            <w:r w:rsidRPr="001067CD">
              <w:rPr>
                <w:i/>
              </w:rPr>
              <w:br/>
            </w:r>
            <w:r w:rsidR="00A96AEC">
              <w:t>Kommunikáció- és Médiatudomány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Zsebők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Kommunikációs kihívás a Rákosi-korszakban: a Petőfi-kör vitái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vita, Rákosi-kor, Petőfi Kör, retorika, kommunikáció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1956-os forradalom nemcsak Magyarország történetének fordulópontja, hanem a</w:t>
      </w:r>
      <w:r>
        <w:rPr>
          <w:color w:val="000000"/>
          <w:sz w:val="24"/>
          <w:szCs w:val="24"/>
        </w:rPr>
        <w:br/>
        <w:t xml:space="preserve">hidegháborús világrend meghatározó eseménye is volt, amely Kelet-Európa szovjetellenes</w:t>
      </w:r>
      <w:r>
        <w:rPr>
          <w:color w:val="000000"/>
          <w:sz w:val="24"/>
          <w:szCs w:val="24"/>
        </w:rPr>
        <w:br/>
        <w:t xml:space="preserve">törekvéseire irányította a figyelmet. A Petőfi Kör nyílt vitái kiemelkedő szerepet játszottak a</w:t>
      </w:r>
      <w:r>
        <w:rPr>
          <w:color w:val="000000"/>
          <w:sz w:val="24"/>
          <w:szCs w:val="24"/>
        </w:rPr>
        <w:br/>
        <w:t xml:space="preserve">sztálinizmus kritikájában és a társadalmi öntudatra ébredés előmozdításában, miközben a</w:t>
      </w:r>
      <w:r>
        <w:rPr>
          <w:color w:val="000000"/>
          <w:sz w:val="24"/>
          <w:szCs w:val="24"/>
        </w:rPr>
        <w:br/>
        <w:t xml:space="preserve">kommunista rendszer reformjára törekedtek. A dolgozat a Petőfi Kör történeti áttekintésén túl</w:t>
      </w:r>
      <w:r>
        <w:rPr>
          <w:color w:val="000000"/>
          <w:sz w:val="24"/>
          <w:szCs w:val="24"/>
        </w:rPr>
        <w:br/>
        <w:t xml:space="preserve">elemzi a retorikai és érveléstechnikai eszközök szerepét, valamint a viták közönségre</w:t>
      </w:r>
      <w:r>
        <w:rPr>
          <w:color w:val="000000"/>
          <w:sz w:val="24"/>
          <w:szCs w:val="24"/>
        </w:rPr>
        <w:br/>
        <w:t xml:space="preserve">gyakorolt hatását. A kutatás rámutatott, hogy a kommunikációs stratégiák – legyen szó</w:t>
      </w:r>
      <w:r>
        <w:rPr>
          <w:color w:val="000000"/>
          <w:sz w:val="24"/>
          <w:szCs w:val="24"/>
        </w:rPr>
        <w:br/>
        <w:t xml:space="preserve">értelmiségi vitákról vagy a közönség mozgósításáról – kulcsszerepet játszhatnak politikai és</w:t>
      </w:r>
      <w:r>
        <w:rPr>
          <w:color w:val="000000"/>
          <w:sz w:val="24"/>
          <w:szCs w:val="24"/>
        </w:rPr>
        <w:br/>
        <w:t xml:space="preserve">társadalmi változások elérésében. A Petőfi Kör példája nemcsak a múlt tanulságait tárja fel,</w:t>
      </w:r>
      <w:r>
        <w:rPr>
          <w:color w:val="000000"/>
          <w:sz w:val="24"/>
          <w:szCs w:val="24"/>
        </w:rPr>
        <w:br/>
        <w:t xml:space="preserve">hanem iránymutatást adhat a mai információs társadalom számára is, különös tekintettel a</w:t>
      </w:r>
      <w:r>
        <w:rPr>
          <w:color w:val="000000"/>
          <w:sz w:val="24"/>
          <w:szCs w:val="24"/>
        </w:rPr>
        <w:br/>
        <w:t xml:space="preserve">kritikus gondolkodás és a vitakultúra jelentőségére.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949112">
    <w:multiLevelType w:val="hybridMultilevel"/>
    <w:lvl w:ilvl="0" w:tplc="636913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949112">
    <w:abstractNumId w:val="619491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54582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