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NYISCSÁK ISTVÁN ZSOLT</w:t>
            </w:r>
          </w:p>
          <w:p w:rsidR="00C275A3" w:rsidRDefault="00CA6B74" w:rsidP="00C275A3">
            <w:pPr>
              <w:pStyle w:val="Hallgatokepzes"/>
            </w:pPr>
            <w:r w:rsidRPr="001067CD">
              <w:rPr>
                <w:i/>
              </w:rPr>
              <w:t>zsoltnyiscsak@gmail.com</w:t>
            </w:r>
            <w:r w:rsidRPr="001067CD">
              <w:rPr>
                <w:i/>
              </w:rPr>
              <w:br/>
            </w:r>
            <w:r w:rsidR="00A96AEC">
              <w:t>nemzetközi tanulmányok</w:t>
            </w:r>
            <w:r w:rsidR="00A96AEC">
              <w:br/>
            </w:r>
            <w:r w:rsidR="00E77B23">
              <w:t>BA, 5. félév</w:t>
            </w:r>
          </w:p>
          <w:p w:rsidR="00C265CE" w:rsidRPr="009E5FF1" w:rsidRDefault="00E77B23" w:rsidP="00BA6BAF">
            <w:pPr>
              <w:pStyle w:val="Hallgatointezmeny-kar"/>
              <w:rPr>
                <w:b/>
                <w:caps/>
              </w:rPr>
            </w:pPr>
            <w:r>
              <w:t>Milton Friedman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Vasali Zoltán</w:t>
            </w:r>
          </w:p>
          <w:p w:rsidR="00DB4822" w:rsidRDefault="00DB4822" w:rsidP="00BA6BAF">
            <w:pPr>
              <w:pStyle w:val="Konzulensektitulus"/>
            </w:pPr>
            <w:r w:rsidRPr="00DB4822">
              <w:t>főiskolai adjunktus, MILTON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mesterséges intelligencia alkalmazása és szabályozása az Európai Unióban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AI; EU; AI Act</w:t>
      </w:r>
      <w:r>
        <w:t xml:space="preserve"/>
      </w:r>
    </w:p>
    <w:p>
      <w:pPr>
        <w:widowControl w:val="on"/>
        <w:pBdr/>
        <w:spacing w:before="240" w:after="240" w:line="240" w:lineRule="auto"/>
        <w:ind w:left="0" w:right="0"/>
        <w:jc w:val="left"/>
      </w:pPr>
      <w:r>
        <w:rPr>
          <w:color w:val="000000"/>
          <w:sz w:val="24"/>
          <w:szCs w:val="24"/>
        </w:rPr>
        <w:t xml:space="preserve">A dolgozat a mesterséges intelligencia (AI) térnyerésével felmerülő komplex kérdéseket járja körül, különös tekintettel az Európai Unióban hatályban lévő AI Act-re, mint a technológia szabályozásának elsődleges eszközére. A munka célja, hogy átfogó képet adjon az AI szabályozásának szükségességéről, annak jelenlegi kereteiről, a kapcsolódó kihívásokról és a jövőbeli prioritásokról. A bevezető rész ismerteti, hogy milyen új etikai, jogi és társadalmi kérdéseket vet fel a mesterséges intelligencia térnyerése. Ez számos területen forradalmi változásokat hozhat, ugyanakkor potenciális veszélyeket is rejt magában, mint a diszkrimináció, a jogsértés lehetősége, vagy munkahelyek elvesztése. Dolgozatomban rámutatok arra a tényre, hogy az AI-szabályozás célja nem az innováció gátlása, hanem az emberközpontú és etikus fejlesztés, illetve alkalmazás biztosítása.</w:t>
      </w:r>
    </w:p>
    <w:p>
      <w:pPr>
        <w:widowControl w:val="on"/>
        <w:pBdr/>
        <w:spacing w:before="240" w:after="240" w:line="240" w:lineRule="auto"/>
        <w:ind w:left="0" w:right="0"/>
        <w:jc w:val="left"/>
      </w:pPr>
      <w:r>
        <w:rPr>
          <w:color w:val="000000"/>
          <w:sz w:val="24"/>
          <w:szCs w:val="24"/>
        </w:rPr>
        <w:t xml:space="preserve">Az AI Act részletes elemzése során ismertetem a jogszabály célját, felépítését, valamint a kockázati besorolási rendszert. Kulcsfontosságú a magas kockázatú rendszerek kategóriája, melybe az egészségügyben használatos AI alapú rendszerek is tartoznak. Ezen rendszerek hibás működése súlyos következményekkel járhat, ebből kifolyólag ismertetésre kerül, hogyan szabályozhatják az AI Act segítségével ezeket a rendszereket a biztonság, az átláthatóság és az elszámoltathatóság érdekében. Fontos megemlíteni az alacsony kockázatú, de potenciális visszaélésekre alkalmas rendszereket, melyek könnyen alkalmasak deepfake tartalmak generálására. A dolgozatban felmerült a szigorúbb szabályozás vagy szankcionálás szükségessége a területen.</w:t>
      </w:r>
    </w:p>
    <w:p>
      <w:pPr>
        <w:widowControl w:val="on"/>
        <w:pBdr/>
        <w:spacing w:before="240" w:after="240" w:line="240" w:lineRule="auto"/>
        <w:ind w:left="0" w:right="0"/>
        <w:jc w:val="left"/>
      </w:pPr>
      <w:r>
        <w:rPr>
          <w:color w:val="000000"/>
          <w:sz w:val="24"/>
          <w:szCs w:val="24"/>
        </w:rPr>
        <w:t xml:space="preserve">A mesterséges intelligencia oktatási rendszerbe történő integrációjának fontossága fontos része a műnek. A szerző meggyőződése, hogy a társadalom minden rétegének, különösképp a diákoknak meg kell ismerniük az AI működését, az algoritmusok szerepét, az adatvédelem fontosságát. A korral együtt kell haladni, hogy fel tudják ismerni a manipuláció és függőség veszélyeit. Az informatikai tudatosságra nevelés elengedhetetlen a felelős AI-használat és a technológia társadalmi előnyeinek kiaknázása szempontjából.</w:t>
      </w:r>
    </w:p>
    <w:p>
      <w:pPr>
        <w:widowControl w:val="on"/>
        <w:pBdr/>
        <w:spacing w:before="240" w:after="240" w:line="240" w:lineRule="auto"/>
        <w:ind w:left="0" w:right="0"/>
        <w:jc w:val="left"/>
      </w:pPr>
      <w:r>
        <w:rPr>
          <w:color w:val="000000"/>
          <w:sz w:val="24"/>
          <w:szCs w:val="24"/>
        </w:rPr>
        <w:t xml:space="preserve">Az AI rendszerek szabályozása és oktatása elengedhetetlen a társadalom számára. Az AI Act fontos lépés ebbe az irányba, de a technológia folyamatos fejlődése miatt a szabályoknak rugalmasnak és adaptívnak kell lennie. A felelős szabályozás és az oktatás kérdése közös felelőssége a jogalkotóknak, a kutatóknak, az oktatási intézményeknek és a társadalom egészének egyaránt.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26220">
    <w:multiLevelType w:val="hybridMultilevel"/>
    <w:lvl w:ilvl="0" w:tplc="45833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26220">
    <w:abstractNumId w:val="96926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826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