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MOLDOVÁN BENCE</w:t>
            </w:r>
          </w:p>
          <w:p w:rsidR="00C275A3" w:rsidRDefault="00CA6B74" w:rsidP="00C275A3">
            <w:pPr>
              <w:pStyle w:val="Hallgatokepzes"/>
            </w:pPr>
            <w:r w:rsidRPr="001067CD">
              <w:rPr>
                <w:i/>
              </w:rPr>
              <w:t>agrael8@yahoo.com</w:t>
            </w:r>
            <w:r w:rsidRPr="001067CD">
              <w:rPr>
                <w:i/>
              </w:rPr>
              <w:br/>
            </w:r>
            <w:r w:rsidR="00A96AEC">
              <w:t>Germanisztika BA</w:t>
            </w:r>
            <w:r w:rsidR="00A96AEC">
              <w:br/>
            </w:r>
            <w:r w:rsidR="00E77B23">
              <w:t>BA, 3. félév</w:t>
            </w:r>
          </w:p>
          <w:p w:rsidR="00C265CE" w:rsidRPr="009E5FF1" w:rsidRDefault="00E77B23" w:rsidP="00BA6BAF">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Kovács Edit</w:t>
            </w:r>
          </w:p>
          <w:p w:rsidR="00DB4822" w:rsidRDefault="00DB4822" w:rsidP="00BA6BAF">
            <w:pPr>
              <w:pStyle w:val="Konzulensektitulus"/>
            </w:pPr>
            <w:r w:rsidRPr="00DB4822">
              <w:t>docens,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képzőművészet funkciói Thomas Mann korai műveiben. Képminták a Vision, Fiorenza és a Der Kleiderschrank című művekben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irodalom; képzőművészet; német; Botticelli</w:t>
      </w:r>
      <w:r>
        <w:t xml:space="preserve"/>
      </w:r>
    </w:p>
    <w:p>
      <w:pPr>
        <w:widowControl w:val="on"/>
        <w:pBdr/>
        <w:spacing w:before="240" w:after="240" w:line="240" w:lineRule="auto"/>
        <w:ind w:left="0" w:right="0"/>
        <w:jc w:val="left"/>
      </w:pPr>
      <w:r>
        <w:rPr>
          <w:color w:val="000000"/>
          <w:sz w:val="24"/>
          <w:szCs w:val="24"/>
        </w:rPr>
        <w:t xml:space="preserve">Die Forschung befasst sich mit der Funktion der Bildvorlagen im Frühwerk Thomas Manns. Ziel dieser Arbeit ist es, die Beziehung des Schriftstellers zur bildenden Kunst zu erforschen, ihre Rolle in vier seiner Werke zu untersuchen und das Vorliegen und das interpretatorische Potenzial einer weiteren möglichen visuellen Referenz aufzuzeigen. Dabei handelt es sich um die folgenden Erzählungen und ein Theaterstück: Vision, Der Kleiderschrank, Gladius Dei und Fiorenza.</w:t>
      </w:r>
      <w:r>
        <w:rPr>
          <w:color w:val="000000"/>
          <w:sz w:val="24"/>
          <w:szCs w:val="24"/>
        </w:rPr>
        <w:br/>
        <w:t xml:space="preserve">Grundlegendes Ziel der Untersuchung ist es, die in der zeitgenössischen Thomas-Mann-Forschung herrschende Position zu hinterfragen, dass die bildenden Künste im Leben des Schriftstellers und insbesondere bei der Erstellung seiner Werke eine untergeordnete Rolle gespielt hätten, und demgegenüber die wichtige Rolle des Renaissance-Gemäldes Die Verleumdung des Apelles von Sandro Botticelli nachzuweisen.</w:t>
      </w:r>
      <w:r>
        <w:rPr>
          <w:color w:val="000000"/>
          <w:sz w:val="24"/>
          <w:szCs w:val="24"/>
        </w:rPr>
        <w:br/>
        <w:t xml:space="preserve">Die Forschungen haben bereits eine mögliche Verbindung zwischen diesem Gemälde und einem der frühen Werke des Schriftstellers, Fiorenza ,angnommen. Mein Ziel ist es nahezulegen, dass dieses Bild auch im Falle eines weiteren Werkes, nämlich Der Kleiderschrank als Vorlage diente. Es soll ebenfalls erörtert werden, dass Thomas Mann die in seinen frühen Werken verwendeten Bilder auf unterschiedliche Weise und nicht als Gleichwertiges behandelt hat.</w:t>
      </w:r>
      <w:r>
        <w:rPr>
          <w:color w:val="000000"/>
          <w:sz w:val="24"/>
          <w:szCs w:val="24"/>
        </w:rPr>
        <w:br/>
        <w:t xml:space="preserve">Die Untersuchung ist in sieben Teile gegliedert: Nach einer allgemeinen Einführung wird eines der Probleme beschrieben, das die Untersuchung erschwert. Dann wird ein allgemeines Bild der Beziehung zwischen Thomas Manns Frühwerk und der bildenden Kunst gezeichnet, und hier werden die Konzepte erörtert, die bei der Analyse hilfreich sein werden. Schließlich folgt eine Analyse der oben angeführten Werke.</w:t>
      </w:r>
      <w:r>
        <w:rPr>
          <w:color w:val="000000"/>
          <w:sz w:val="24"/>
          <w:szCs w:val="24"/>
        </w:rPr>
        <w:br/>
        <w:t xml:space="preserve">Diese Analysen stellen dar, wo und wie der Schriftsteller die Bilder verwendet hat.Es wird auch gezeigt, dass Thomas Manns Einstellung zur bildenden Kunst variiert. Die Arbeit kann somit die Konzepte anderer Forscher ergänzen, die einen Rahmen für weitere Forschungen zu diesem Thema geschaffen haben. Als Ergebnis dieser Untersuchung kann festgehalten werden, dass Werke der bildenden Kunst in Thomas Manns Frühwerk eine größere Rolle spielen, was in diesem Fall durch das mehrfache Auftreten eines bestimmten Gemäldes zum Ausdruck kommt.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290046">
    <w:multiLevelType w:val="hybridMultilevel"/>
    <w:lvl w:ilvl="0" w:tplc="442335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290046">
    <w:abstractNumId w:val="252900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46188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