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LEILA VIVIEN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naleposta@gmail.com</w:t>
            </w:r>
            <w:r w:rsidRPr="001067CD">
              <w:rPr>
                <w:i/>
              </w:rPr>
              <w:br/>
            </w:r>
            <w:r w:rsidR="00A96AEC">
              <w:t>Matematika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Blázsik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Gráfok karakterizálása, melyek orientable totális dominálási száma |V|-1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irányított gráf; totális dominálás; minimális totálisan domináló halmaz; orientable totális dominálási szám; gráf éleinek megirányítása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a directed graph D, a vertex subset S in V is a total dominating set if every vertex of D has an in-neighbor from S. A total dominating set exists if and only if every vertex has at least one in-neighbor. We call the orientation of such directed graphs valid. The total domination number of D, denoted by gamma</w:t>
      </w:r>
      <w:r>
        <w:rPr>
          <w:color w:val="000000"/>
          <w:position w:val="-4"/>
          <w:sz w:val="21"/>
          <w:szCs w:val="21"/>
          <w:vertAlign w:val="subscript"/>
        </w:rPr>
        <w:t xml:space="preserve">t</w:t>
      </w:r>
      <w:r>
        <w:rPr>
          <w:color w:val="000000"/>
          <w:sz w:val="24"/>
          <w:szCs w:val="24"/>
        </w:rPr>
        <w:t xml:space="preserve">(D), is the size of the smallest total dominating set of D. For an undirected graph G, we investigate the upper (or lower) orientable total domination number of G, denoted by DOM</w:t>
      </w:r>
      <w:r>
        <w:rPr>
          <w:color w:val="000000"/>
          <w:position w:val="-4"/>
          <w:sz w:val="21"/>
          <w:szCs w:val="21"/>
          <w:vertAlign w:val="subscript"/>
        </w:rPr>
        <w:t xml:space="preserve">t</w:t>
      </w:r>
      <w:r>
        <w:rPr>
          <w:color w:val="000000"/>
          <w:sz w:val="24"/>
          <w:szCs w:val="24"/>
        </w:rPr>
        <w:t xml:space="preserve">(G)  (or dom</w:t>
      </w:r>
      <w:r>
        <w:rPr>
          <w:color w:val="000000"/>
          <w:position w:val="-4"/>
          <w:sz w:val="21"/>
          <w:szCs w:val="21"/>
          <w:vertAlign w:val="subscript"/>
        </w:rPr>
        <w:t xml:space="preserve">t</w:t>
      </w:r>
      <w:r>
        <w:rPr>
          <w:color w:val="000000"/>
          <w:sz w:val="24"/>
          <w:szCs w:val="24"/>
        </w:rPr>
        <w:t xml:space="preserve">(G) ), that is the maximum (or minimum) of the total domination numbers over all valid orientations of G. We characterize those graphs for which DOM</w:t>
      </w:r>
      <w:r>
        <w:rPr>
          <w:color w:val="000000"/>
          <w:position w:val="-4"/>
          <w:sz w:val="21"/>
          <w:szCs w:val="21"/>
          <w:vertAlign w:val="subscript"/>
        </w:rPr>
        <w:t xml:space="preserve">t</w:t>
      </w:r>
      <w:r>
        <w:rPr>
          <w:color w:val="000000"/>
          <w:sz w:val="24"/>
          <w:szCs w:val="24"/>
        </w:rPr>
        <w:t xml:space="preserve">(G)=|V(G)|-1, and consequently we show that there exists a family of graphs for which DOM</w:t>
      </w:r>
      <w:r>
        <w:rPr>
          <w:color w:val="000000"/>
          <w:position w:val="-4"/>
          <w:sz w:val="21"/>
          <w:szCs w:val="21"/>
          <w:vertAlign w:val="subscript"/>
        </w:rPr>
        <w:t xml:space="preserve">t</w:t>
      </w:r>
      <w:r>
        <w:rPr>
          <w:color w:val="000000"/>
          <w:sz w:val="24"/>
          <w:szCs w:val="24"/>
        </w:rPr>
        <w:t xml:space="preserve">(G)  and dom</w:t>
      </w:r>
      <w:r>
        <w:rPr>
          <w:color w:val="000000"/>
          <w:position w:val="-4"/>
          <w:sz w:val="21"/>
          <w:szCs w:val="21"/>
          <w:vertAlign w:val="subscript"/>
        </w:rPr>
        <w:t xml:space="preserve">t</w:t>
      </w:r>
      <w:r>
        <w:rPr>
          <w:color w:val="000000"/>
          <w:sz w:val="24"/>
          <w:szCs w:val="24"/>
        </w:rPr>
        <w:t xml:space="preserve">(G) can be as far as possible, namely DOM</w:t>
      </w:r>
      <w:r>
        <w:rPr>
          <w:color w:val="000000"/>
          <w:position w:val="-4"/>
          <w:sz w:val="21"/>
          <w:szCs w:val="21"/>
          <w:vertAlign w:val="subscript"/>
        </w:rPr>
        <w:t xml:space="preserve">t</w:t>
      </w:r>
      <w:r>
        <w:rPr>
          <w:color w:val="000000"/>
          <w:sz w:val="24"/>
          <w:szCs w:val="24"/>
        </w:rPr>
        <w:t xml:space="preserve">(G)=|V(G)|-1 and dom</w:t>
      </w:r>
      <w:r>
        <w:rPr>
          <w:color w:val="000000"/>
          <w:position w:val="-4"/>
          <w:sz w:val="21"/>
          <w:szCs w:val="21"/>
          <w:vertAlign w:val="subscript"/>
        </w:rPr>
        <w:t xml:space="preserve">t</w:t>
      </w:r>
      <w:r>
        <w:rPr>
          <w:color w:val="000000"/>
          <w:sz w:val="24"/>
          <w:szCs w:val="24"/>
        </w:rPr>
        <w:t xml:space="preserve">(G)=3 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D irányított gráfban egy S eleme V csúcshalmaz totálisan domináló halmaz, ha minden D-beli csúcs felé vezet legalább egy él az S csúcshalmaz valamelyik csúcsából. Egy irányított gráfban pontosan akkor létezik totálisan domináló halmaz, ha minden csúcs befoka legalább egy. A legkisebb totálisan domináló halmaz méretét D-ben a gráf totális dominálási számának nevezzük, a jele gamma</w:t>
      </w:r>
      <w:r>
        <w:rPr>
          <w:color w:val="000000"/>
          <w:position w:val="-4"/>
          <w:sz w:val="21"/>
          <w:szCs w:val="21"/>
          <w:vertAlign w:val="subscript"/>
        </w:rPr>
        <w:t xml:space="preserve">t</w:t>
      </w:r>
      <w:r>
        <w:rPr>
          <w:color w:val="000000"/>
          <w:sz w:val="24"/>
          <w:szCs w:val="24"/>
        </w:rPr>
        <w:t xml:space="preserve">(D). Meghatároztuk azokat a gráfokat, melyekre DOM</w:t>
      </w:r>
      <w:r>
        <w:rPr>
          <w:color w:val="000000"/>
          <w:position w:val="-4"/>
          <w:sz w:val="21"/>
          <w:szCs w:val="21"/>
          <w:vertAlign w:val="subscript"/>
        </w:rPr>
        <w:t xml:space="preserve">t</w:t>
      </w:r>
      <w:r>
        <w:rPr>
          <w:color w:val="000000"/>
          <w:sz w:val="24"/>
          <w:szCs w:val="24"/>
        </w:rPr>
        <w:t xml:space="preserve">(G)=|V(G)|-1 , és következésképpen megmutattuk, hogy létezik egy olyan gráfcsalád, melyre DOMt(G)  és dom</w:t>
      </w:r>
      <w:r>
        <w:rPr>
          <w:color w:val="000000"/>
          <w:position w:val="-4"/>
          <w:sz w:val="21"/>
          <w:szCs w:val="21"/>
          <w:vertAlign w:val="subscript"/>
        </w:rPr>
        <w:t xml:space="preserve">t</w:t>
      </w:r>
      <w:r>
        <w:rPr>
          <w:color w:val="000000"/>
          <w:sz w:val="24"/>
          <w:szCs w:val="24"/>
        </w:rPr>
        <w:t xml:space="preserve">(G) a lehető legközelebb van egymáshoz, azaz DOM</w:t>
      </w:r>
      <w:r>
        <w:rPr>
          <w:color w:val="000000"/>
          <w:position w:val="-4"/>
          <w:sz w:val="21"/>
          <w:szCs w:val="21"/>
          <w:vertAlign w:val="subscript"/>
        </w:rPr>
        <w:t xml:space="preserve">t</w:t>
      </w:r>
      <w:r>
        <w:rPr>
          <w:color w:val="000000"/>
          <w:sz w:val="24"/>
          <w:szCs w:val="24"/>
        </w:rPr>
        <w:t xml:space="preserve">(G)=|V(G)|-1  és dom</w:t>
      </w:r>
      <w:r>
        <w:rPr>
          <w:color w:val="000000"/>
          <w:position w:val="-4"/>
          <w:sz w:val="21"/>
          <w:szCs w:val="21"/>
          <w:vertAlign w:val="subscript"/>
        </w:rPr>
        <w:t xml:space="preserve">t</w:t>
      </w:r>
      <w:r>
        <w:rPr>
          <w:color w:val="000000"/>
          <w:sz w:val="24"/>
          <w:szCs w:val="24"/>
        </w:rPr>
        <w:t xml:space="preserve">(G)=3.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382990">
    <w:multiLevelType w:val="hybridMultilevel"/>
    <w:lvl w:ilvl="0" w:tplc="880887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382990">
    <w:abstractNumId w:val="173829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82537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