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JÖRG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jorgaron@gmail.com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Földvári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Upper Bound on the Stick Number of Quad-Knots / Becslés egy új csomócsalád pálcaszámára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quad-csomó; pálcaszám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úgynevezett quad-csomók pálcaszámának felső korlátjának meghatározására</w:t>
      </w:r>
      <w:r>
        <w:rPr>
          <w:color w:val="000000"/>
          <w:sz w:val="24"/>
          <w:szCs w:val="24"/>
        </w:rPr>
        <w:br/>
        <w:t xml:space="preserve">irányul. A quad-csomók egy új, általunk definiált csomócsaládot alkotnak, amelyeket az n × m</w:t>
      </w:r>
      <w:r>
        <w:rPr>
          <w:color w:val="000000"/>
          <w:sz w:val="24"/>
          <w:szCs w:val="24"/>
        </w:rPr>
        <w:br/>
        <w:t xml:space="preserve">méretű négyzetháló mentén alkotott diagramokkal hozunk létre. A kutatás célja, hogy</w:t>
      </w:r>
      <w:r>
        <w:rPr>
          <w:color w:val="000000"/>
          <w:sz w:val="24"/>
          <w:szCs w:val="24"/>
        </w:rPr>
        <w:br/>
        <w:t xml:space="preserve">pontosabb felső becslést adjunk ezen csomók pálcaszámára, mely meghaladja a korábban</w:t>
      </w:r>
      <w:r>
        <w:rPr>
          <w:color w:val="000000"/>
          <w:sz w:val="24"/>
          <w:szCs w:val="24"/>
        </w:rPr>
        <w:br/>
        <w:t xml:space="preserve">ismert általános korlátokat.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legeleje áttekintést nyújt a csomók és a pálcaszám alapvető elméleti hátteréről,</w:t>
      </w:r>
      <w:r>
        <w:rPr>
          <w:color w:val="000000"/>
          <w:sz w:val="24"/>
          <w:szCs w:val="24"/>
        </w:rPr>
        <w:br/>
        <w:t xml:space="preserve">bemutatva a kapcsolódó fogalmakat, definíciókat és korábbi eredményeket. A kutatás főbb</w:t>
      </w:r>
      <w:r>
        <w:rPr>
          <w:color w:val="000000"/>
          <w:sz w:val="24"/>
          <w:szCs w:val="24"/>
        </w:rPr>
        <w:br/>
        <w:t xml:space="preserve">lépései a következők: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1. A quad-csomó család definiálása.</w:t>
      </w:r>
      <w:r>
        <w:rPr>
          <w:color w:val="000000"/>
          <w:sz w:val="24"/>
          <w:szCs w:val="24"/>
        </w:rPr>
        <w:br/>
        <w:t xml:space="preserve">2. Az alternálás feltételei.</w:t>
      </w:r>
      <w:r>
        <w:rPr>
          <w:color w:val="000000"/>
          <w:sz w:val="24"/>
          <w:szCs w:val="24"/>
        </w:rPr>
        <w:br/>
        <w:t xml:space="preserve">3. A pálca reprezentáció kidolgozása.</w:t>
      </w:r>
      <w:r>
        <w:rPr>
          <w:color w:val="000000"/>
          <w:sz w:val="24"/>
          <w:szCs w:val="24"/>
        </w:rPr>
        <w:br/>
        <w:t xml:space="preserve">4. Új felső korlát bizonyítása a pálcaszámra, amely az n és m paraméterek függvényében</w:t>
      </w:r>
      <w:r>
        <w:rPr>
          <w:color w:val="000000"/>
          <w:sz w:val="24"/>
          <w:szCs w:val="24"/>
        </w:rPr>
        <w:br/>
        <w:t xml:space="preserve">élesebb, mint a korábbi eredmények.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eredményeként bebizonyítottuk, hogy a pálcaszám új felső korlátja: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stick(K)≤3n+2m+n(m/2).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az eredmény az ismert általános korlátnál ((3/2)(c(K)+1))</w:t>
      </w:r>
      <w:r>
        <w:rPr>
          <w:color w:val="000000"/>
          <w:sz w:val="24"/>
          <w:szCs w:val="24"/>
        </w:rPr>
        <w:br/>
        <w:t xml:space="preserve">élesebb nagyon hamar: (n≥7,m≥4) paraméterfeltételek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hozzájárul a csomóelmélethez az új csomócsalád és az ahhoz tartozó pálcaszám</w:t>
      </w:r>
      <w:r>
        <w:rPr>
          <w:color w:val="000000"/>
          <w:sz w:val="24"/>
          <w:szCs w:val="24"/>
        </w:rPr>
        <w:br/>
        <w:t xml:space="preserve">becslés bemutatásával, valamint a további kutatások alapjait is lefekteti.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71632">
    <w:multiLevelType w:val="hybridMultilevel"/>
    <w:lvl w:ilvl="0" w:tplc="66104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71632">
    <w:abstractNumId w:val="779716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662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