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SIKE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andrassikeandrassike@gmail.com</w:t>
            </w:r>
            <w:r w:rsidRPr="001067CD">
              <w:rPr>
                <w:i/>
              </w:rPr>
              <w:br/>
            </w:r>
            <w:r w:rsidR="00A96AEC">
              <w:t>Alkalmazott matematikus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Határozatlansági relációk a harmonikus analízisben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Harmonikus analízis; Fourier-analízis; Fourier-transzformáció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klasszikus harmonikus analízisbeli tételek kiterjesztésével foglalkoztunk,</w:t>
      </w:r>
      <w:r>
        <w:rPr>
          <w:color w:val="000000"/>
          <w:sz w:val="24"/>
          <w:szCs w:val="24"/>
        </w:rPr>
        <w:br/>
        <w:t xml:space="preserve">különös tekintettel a kvaternióértékű Fourier-transzformáltat övező határozatlansági relációkra.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Előszőr a kvaterniók ferdetestjét vezetjük be, majd megmutatjuk, hogyan lehet olyan</w:t>
      </w:r>
      <w:r>
        <w:rPr>
          <w:color w:val="000000"/>
          <w:sz w:val="24"/>
          <w:szCs w:val="24"/>
        </w:rPr>
        <w:br/>
        <w:t xml:space="preserve">függvényeket értelmezni, amelyek értékkészlete ebből a ferdetestből való. Az ilyen függvényeken</w:t>
      </w:r>
      <w:r>
        <w:rPr>
          <w:color w:val="000000"/>
          <w:sz w:val="24"/>
          <w:szCs w:val="24"/>
        </w:rPr>
        <w:br/>
        <w:t xml:space="preserve">vektortér-struktúrákat definiálunk és ezek közti elemi összefüggéseket igazolunk.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Mindezek után az ilyen függvénytereken értelmezhető operátorral, a Fourier-transzformálttal</w:t>
      </w:r>
      <w:r>
        <w:rPr>
          <w:color w:val="000000"/>
          <w:sz w:val="24"/>
          <w:szCs w:val="24"/>
        </w:rPr>
        <w:br/>
        <w:t xml:space="preserve">kezdünk el foglalkozni. Ennek beláttuk több, fontos tulajdonságát majd egy Donoho-Starkéhoz</w:t>
      </w:r>
      <w:r>
        <w:rPr>
          <w:color w:val="000000"/>
          <w:sz w:val="24"/>
          <w:szCs w:val="24"/>
        </w:rPr>
        <w:br/>
        <w:t xml:space="preserve">hasonló határozatlansági relációt vezettünk 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utolsó fejezetben egy általános elvvel, a Stein-módszerrel foglalkozunk. Megmutatjuk,</w:t>
      </w:r>
      <w:r>
        <w:rPr>
          <w:color w:val="000000"/>
          <w:sz w:val="24"/>
          <w:szCs w:val="24"/>
        </w:rPr>
        <w:br/>
        <w:t xml:space="preserve">hogyan lehet az általa használt ötleteket a mi esetünkben véghezvinni, ennek segítségével pedig</w:t>
      </w:r>
      <w:r>
        <w:rPr>
          <w:color w:val="000000"/>
          <w:sz w:val="24"/>
          <w:szCs w:val="24"/>
        </w:rPr>
        <w:br/>
        <w:t xml:space="preserve">egy új határozatlansági relációt fogalmazunk meg, illetve bizonyítunk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451008">
    <w:multiLevelType w:val="hybridMultilevel"/>
    <w:lvl w:ilvl="0" w:tplc="325919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451008">
    <w:abstractNumId w:val="754510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6288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