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NIKOLICS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nikolics.patrik@gmail.com</w:t>
            </w:r>
            <w:r w:rsidRPr="001067CD">
              <w:rPr>
                <w:i/>
              </w:rPr>
              <w:br/>
            </w:r>
            <w:r w:rsidR="00A96AEC">
              <w:t>Magyar-dráma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Szalisznyó Lilla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szép asszony, mög az bor” Gárdonyi Géza A bor című színművének ősbemutatója és kiadástörténete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bor; Gárdonyi Géza; színháztudomány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„Művészi minden ízében, mert mérsékelt és igaz.”</w:t>
      </w:r>
      <w:r>
        <w:rPr>
          <w:color w:val="000000"/>
          <w:sz w:val="24"/>
          <w:szCs w:val="24"/>
        </w:rPr>
        <w:br/>
        <w:t xml:space="preserve">Gárdonyi Géza A bor című színdarabjának kiadás- és előadástörténete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Gárdonyi Géza irodalmi sikere elsősorban epikájában bontakozott ki, holott a 20. század elején a Nemzeti Színház egyik legsikeresebb drámaírója is volt, formabontó ötleteinek és témaválasztásainak köszönhetően. Ennek okán dolgozatom célja A bor című drámája ősbemutatójának életre keltése, valamint kiadás- és előadástörténetének bemutatása. Az 1901. március 29 én bemutatott darab a Nemzeti Színházban hatalmas sikert aratott, évtizedekig műsoron tartották, utolsó előadása 1937. november 29-én volt. A dráma az író azonos címet viselő novellájának a színpadi adaptációja, így lényegi elemzési szempontja a dolgozatomnak az, hogy Gárdonyi miként alakította át epikus művét drámává, hogyan értelmezte újra novellája cselekményét, szereplőit és helyszíneit. Különösen érdekes, hogy valamennyi szereplőjét dél- alföldi dialektusban beszélteti, megtörve azt a magyar drámatörténeti hagyományt, amelyben csak egyes karakterek, epizódfigurák beszéltek valamely nyelvjárásban, s ők is csak azért, hogy színesebbé, egyedivé váljanak. Egy fejezetben a dráma kiadásainak összehasonlításaival foglalkozom, ugyanis a második és harmadik kiadás nem az első utánnyomása volt. Ebben a színházközeli elemzésben ennek azért lehet jelentősége, mert Gárdonyi nyomon követte a dráma előadásait, és benyomásait a soron következő kiadásokba rendezői intelemként beépítette. A szereplők jelmezeinek és az előadás díszleteinek bemutatásához feltártam az ősbemutató kapcsán a Nemzeti Színház iratanyagában fennmaradt kéziratos jelmez-és díszletjegyzéket, illetve a szereplőkről készült jelmezes fényképeket. Végezetül a darab kritikai fogadtatását tekintem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Nikolics Patrik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81575">
    <w:multiLevelType w:val="hybridMultilevel"/>
    <w:lvl w:ilvl="0" w:tplc="82203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81575">
    <w:abstractNumId w:val="55281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348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