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MÉNESI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m.flora2002@gmail.com</w:t>
            </w:r>
            <w:r w:rsidRPr="001067CD">
              <w:rPr>
                <w:i/>
              </w:rPr>
              <w:br/>
            </w:r>
            <w:r w:rsidR="00A96AEC">
              <w:t>Magyar-spanyol 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Hász-Fehér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Katona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gázel műfaji és kulturális kódjai Arany János és Federico García Lorca költészetében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Arany János, Federico García Lorca, gázel, műfajelmélet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célja azonosítani és elemezni a perzsa-arab eredetű </w:t>
      </w:r>
      <w:r>
        <w:rPr>
          <w:i/>
          <w:color w:val="000000"/>
          <w:sz w:val="24"/>
          <w:szCs w:val="24"/>
        </w:rPr>
        <w:t xml:space="preserve">gázel </w:t>
      </w:r>
      <w:r>
        <w:rPr>
          <w:color w:val="000000"/>
          <w:sz w:val="24"/>
          <w:szCs w:val="24"/>
        </w:rPr>
        <w:t xml:space="preserve">műfaji és kulturális kódjait. Az műfajelméleti rész áttekintést nyújt a </w:t>
      </w:r>
      <w:r>
        <w:rPr>
          <w:i/>
          <w:color w:val="000000"/>
          <w:sz w:val="24"/>
          <w:szCs w:val="24"/>
        </w:rPr>
        <w:t xml:space="preserve">gázel</w:t>
      </w:r>
      <w:r>
        <w:rPr>
          <w:color w:val="000000"/>
          <w:sz w:val="24"/>
          <w:szCs w:val="24"/>
        </w:rPr>
        <w:t xml:space="preserve"> legfontosabb sajátosságairól, és röviden bemutatja interkulturális adaptációit az európai irodalomban. Az elemzés középpontjában két gázel áll: az egyik Arany János </w:t>
      </w:r>
      <w:r>
        <w:rPr>
          <w:i/>
          <w:color w:val="000000"/>
          <w:sz w:val="24"/>
          <w:szCs w:val="24"/>
        </w:rPr>
        <w:t xml:space="preserve">Ghazel</w:t>
      </w:r>
      <w:r>
        <w:rPr>
          <w:color w:val="000000"/>
          <w:sz w:val="24"/>
          <w:szCs w:val="24"/>
        </w:rPr>
        <w:t xml:space="preserve"> című szövege, a másik Federico García Lorca </w:t>
      </w:r>
      <w:r>
        <w:rPr>
          <w:i/>
          <w:color w:val="000000"/>
          <w:sz w:val="24"/>
          <w:szCs w:val="24"/>
        </w:rPr>
        <w:t xml:space="preserve">Gázel a sötét halálról</w:t>
      </w:r>
      <w:r>
        <w:rPr>
          <w:color w:val="000000"/>
          <w:sz w:val="24"/>
          <w:szCs w:val="24"/>
        </w:rPr>
        <w:t xml:space="preserve"> című költeménye. Habár a gázel nem honosodott meg a magyar irodalomban, és Spanyolországban sem volt széles körben elterjedt forma, a két szerző között pedig sem kronológiai, sem térbeli vagy kauzális kapcsolat nincs, a két mű mégis hasonló üzenetet közvetít.</w:t>
      </w:r>
      <w:r>
        <w:rPr>
          <w:color w:val="000000"/>
          <w:sz w:val="24"/>
          <w:szCs w:val="24"/>
        </w:rPr>
        <w:br/>
        <w:br/>
        <w:t xml:space="preserve">Arany Ghazele 1858-ban jelent meg az </w:t>
      </w:r>
      <w:r>
        <w:rPr>
          <w:i/>
          <w:color w:val="000000"/>
          <w:sz w:val="24"/>
          <w:szCs w:val="24"/>
        </w:rPr>
        <w:t xml:space="preserve">Üstökös</w:t>
      </w:r>
      <w:r>
        <w:rPr>
          <w:color w:val="000000"/>
          <w:sz w:val="24"/>
          <w:szCs w:val="24"/>
        </w:rPr>
        <w:t xml:space="preserve">ben, azonban cím nélkül, </w:t>
      </w:r>
      <w:r>
        <w:rPr>
          <w:i/>
          <w:color w:val="000000"/>
          <w:sz w:val="24"/>
          <w:szCs w:val="24"/>
        </w:rPr>
        <w:t xml:space="preserve">A poloska </w:t>
      </w:r>
      <w:r>
        <w:rPr>
          <w:color w:val="000000"/>
          <w:sz w:val="24"/>
          <w:szCs w:val="24"/>
        </w:rPr>
        <w:t xml:space="preserve">című, szintén perzsa-arab eredetű makáma részeként. 1867-ben, az Arany által szerkesztett összkiadásba már saját címmel került be. Emiatt a </w:t>
      </w:r>
      <w:r>
        <w:rPr>
          <w:i/>
          <w:color w:val="000000"/>
          <w:sz w:val="24"/>
          <w:szCs w:val="24"/>
        </w:rPr>
        <w:t xml:space="preserve">Ghazel</w:t>
      </w:r>
      <w:r>
        <w:rPr>
          <w:color w:val="000000"/>
          <w:sz w:val="24"/>
          <w:szCs w:val="24"/>
        </w:rPr>
        <w:t xml:space="preserve">t érdemes a makáma részeként, illetve attól függetlenül is, többes kódolású szövegként elemezni.</w:t>
      </w:r>
      <w:r>
        <w:rPr>
          <w:color w:val="000000"/>
          <w:sz w:val="24"/>
          <w:szCs w:val="24"/>
        </w:rPr>
        <w:br/>
        <w:br/>
        <w:t xml:space="preserve">García Lorca </w:t>
      </w:r>
      <w:r>
        <w:rPr>
          <w:i/>
          <w:color w:val="000000"/>
          <w:sz w:val="24"/>
          <w:szCs w:val="24"/>
        </w:rPr>
        <w:t xml:space="preserve">Tamarit-kert </w:t>
      </w: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Diwán del Tamarit</w:t>
      </w:r>
      <w:r>
        <w:rPr>
          <w:color w:val="000000"/>
          <w:sz w:val="24"/>
          <w:szCs w:val="24"/>
        </w:rPr>
        <w:t xml:space="preserve">) kötete posztumusz kiadásban lát napvilágot, 1940-ben, benne tizenkét gázellel és kilenc kaszídával. A </w:t>
      </w:r>
      <w:r>
        <w:rPr>
          <w:i/>
          <w:color w:val="000000"/>
          <w:sz w:val="24"/>
          <w:szCs w:val="24"/>
        </w:rPr>
        <w:t xml:space="preserve">Gázel a sötét halálról </w:t>
      </w:r>
      <w:r>
        <w:rPr>
          <w:color w:val="000000"/>
          <w:sz w:val="24"/>
          <w:szCs w:val="24"/>
        </w:rPr>
        <w:t xml:space="preserve">elemzése megmutatja, hogy a granadai szerző miként újította meg formailag a műfajt, anélkül, hogy annak belső strukturális sajátosságáról lemondott volna, és miként kapcsolódott a műfaj révén hazája arab kulturális örökségéhez.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44831">
    <w:multiLevelType w:val="hybridMultilevel"/>
    <w:lvl w:ilvl="0" w:tplc="57864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44831">
    <w:abstractNumId w:val="18144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290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