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szabolcs.olah99@gmail.com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Gábor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Heves vármegyei Vitézi Szék vitézi állományának társadalmi összetétele 1936-ban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Horthy-kor; Vitézi Rend; Heves vármegyei Vitézi Szék; Heves vármegye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fő célja a Heves vármegyei Vitézi Szék állományához 1936-ban tartozó vitézi állomány érdemszerzőinek vizsgálata volt, a társadalmi összetételük alapján. Értekezésem alapját a Benkóczy Emil által írt „Heves vármegye vitézei” című könyv képezte, melyet a levéltári források, a Vitézi Rend saját (kortárs) kiadványai, illetve az egyéb források egészítettek ki.</w:t>
      </w:r>
      <w:r>
        <w:rPr>
          <w:color w:val="000000"/>
          <w:sz w:val="24"/>
          <w:szCs w:val="24"/>
        </w:rPr>
        <w:br/>
        <w:t xml:space="preserve">A születési évek esetében kimutatható volt, hogy a legkorábban született személy 1963-ban, míg a legkésőbb született 1899-ben látta meg a napvilágot. A két születési időpont között meghúzódó időintervallumból (születési számok alapján) kiemelkedik az 1880-as és 1890-es évtized, mely arra vezethető vissza, hogy ennek a két évtizednek a szülöttjei képezték a hadköteles férfi lakosság legnagyobb hányadát. Az érdemszerzők egyik nagy fontossága pont az első világháborús szerepvállalásukhoz köthető, mivel a trianoni békeszerződés katonai jellegű megkötéseinek egyik megkerülési formáját adták. A születési helyszínek megállapítása alapján kijelenthető, hogy a vitézek 1/3-a nem Heves vármegye területén született. Ez az arány egy jól megfogható, Heves vármegye irányába történt vándorlás eredményeként értelmezhető, így a Vitézi Rendre tekinthetünk egy integrációt elősegítő szervezetként is. Lakhelyek esetében kimutatható volt, hogy Heves vármegye mellett további 11 vármegyében, illetve Budapesten is éltek vármegyei vitézek. Ez az eredmény a kutatás jelenlegi állása alapján a vitézi telekrendszerre vezethető vissza. A foglalkoztatás esetében erősen visszatükröződött Magyarország agrár mivolta, mivel a legnagyobb számú vitéz a mezőgazdaság egyes területein volt foglalkoztatva. A foglalkoztatási csoportok esetében csak a „házi cselédek” sorában nem volt lehetséges vitézt kimutatni, az összes csoportnál viszont igen. Azonban a vármegye és az egyes települések esetében csak ritka esetben volt lehetősége a vármegyei vitézeknek, hogy befolyásoló tényezőként tudjanak fellépni.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KULTURÁLIS ÉS INNOVÁCIÓS MINISZTÉRIUM EGYETEMI KUTATÓI ÖSZTÖNDÍJ PROGRAMJÁNAK A NEMZETI KUTATÁSI, FEJLESZTÉSI ÉS INNOVÁCIÓS ALAPBÓL FINANSZÍROZOTT SZAKMAI TÁMOGATÁSÁVAL KÉSZÜLT.”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                                                           </w:t>
      </w:r>
      <w:r>
        <w:rPr>
          <w:color w:val="000000"/>
          <w:sz w:val="24"/>
          <w:szCs w:val="24"/>
        </w:rPr>
        <w:drawing>
          <wp:inline distT="0" distB="0" distL="0" distR="0">
            <wp:extent cx="295200" cy="302400"/>
            <wp:docPr id="6795564" name="name167c574d44945b" descr="imgtmp_105867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67_hu_1.png"/>
                    <pic:cNvPicPr/>
                  </pic:nvPicPr>
                  <pic:blipFill>
                    <a:blip r:embed="rId167c574d44941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00" cy="30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drawing>
          <wp:inline distT="0" distB="0" distL="0" distR="0">
            <wp:extent cx="604800" cy="316800"/>
            <wp:docPr id="73808205" name="name167c574d4495ba" descr="imgtmp_105867_h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67_hu_2.png"/>
                    <pic:cNvPicPr/>
                  </pic:nvPicPr>
                  <pic:blipFill>
                    <a:blip r:embed="rId167c574d44957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00" cy="31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87254">
    <w:multiLevelType w:val="hybridMultilevel"/>
    <w:lvl w:ilvl="0" w:tplc="47816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87254">
    <w:abstractNumId w:val="247872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142276" Type="http://schemas.openxmlformats.org/officeDocument/2006/relationships/numbering" Target="numbering.xml"/><Relationship Id="rId167c574d44941c" Type="http://schemas.openxmlformats.org/officeDocument/2006/relationships/image" Target="media/imgrId167c574d44941c.png"/><Relationship Id="rId167c574d44957d" Type="http://schemas.openxmlformats.org/officeDocument/2006/relationships/image" Target="media/imgrId167c574d44957d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