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LAURINYECZ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lau.balzs@gmail.com</w:t>
            </w:r>
            <w:r w:rsidRPr="001067CD">
              <w:rPr>
                <w:i/>
              </w:rPr>
              <w:br/>
            </w:r>
            <w:r w:rsidR="00A96AEC">
              <w:t>Szlavisztika (orosz)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Sarnyai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Eszkatologikus motívumok V. Brjuszov "Dél Keresztje Köztársaság" című 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Valerij Brjuszov; szimbolizmus; antiutópia; eszkatologia;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Eszkatologikus motívumok</w:t>
      </w:r>
      <w:r>
        <w:rPr>
          <w:color w:val="000000"/>
          <w:sz w:val="24"/>
          <w:szCs w:val="24"/>
        </w:rPr>
        <w:br/>
        <w:t xml:space="preserve">Valerij Brjuszov Dél Keresztje Köztársaság című művében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Valerij Brjuszovot olyan alkotóként tartják számon, aki bizonyos értelemben évtizedekkel</w:t>
      </w:r>
      <w:r>
        <w:rPr>
          <w:color w:val="000000"/>
          <w:sz w:val="24"/>
          <w:szCs w:val="24"/>
        </w:rPr>
        <w:br/>
        <w:t xml:space="preserve">előzte meg a saját korát. Az író egyes műveit megvizsgálva világossá válik, hogy esetükben a</w:t>
      </w:r>
      <w:r>
        <w:rPr>
          <w:color w:val="000000"/>
          <w:sz w:val="24"/>
          <w:szCs w:val="24"/>
        </w:rPr>
        <w:br/>
        <w:t xml:space="preserve">XX. századi orosz tudományos-fantasztikus irodalom nyitófejezetével van dolgunk. A</w:t>
      </w:r>
      <w:r>
        <w:rPr>
          <w:color w:val="000000"/>
          <w:sz w:val="24"/>
          <w:szCs w:val="24"/>
        </w:rPr>
        <w:br/>
        <w:t xml:space="preserve">szimbolista Brjuszov ennek kifejező eszközeit tökéletesen felhasználva képes volt olyan</w:t>
      </w:r>
      <w:r>
        <w:rPr>
          <w:color w:val="000000"/>
          <w:sz w:val="24"/>
          <w:szCs w:val="24"/>
        </w:rPr>
        <w:br/>
        <w:t xml:space="preserve">műveket megalkotni, melyek amellett, hogy a társadalom lehetséges jövőképét vázolják fel és</w:t>
      </w:r>
      <w:r>
        <w:rPr>
          <w:color w:val="000000"/>
          <w:sz w:val="24"/>
          <w:szCs w:val="24"/>
        </w:rPr>
        <w:br/>
        <w:t xml:space="preserve">sokrétűen értelmezhetők, a „laikus” olvasó számára is képesek izgalmat, valódi</w:t>
      </w:r>
      <w:r>
        <w:rPr>
          <w:color w:val="000000"/>
          <w:sz w:val="24"/>
          <w:szCs w:val="24"/>
        </w:rPr>
        <w:br/>
        <w:t xml:space="preserve">olvasmányélményt nyújtani. A dolgozat fő célja, hogy feltárja Brjuszov Dél Keresztje</w:t>
      </w:r>
      <w:r>
        <w:rPr>
          <w:color w:val="000000"/>
          <w:sz w:val="24"/>
          <w:szCs w:val="24"/>
        </w:rPr>
        <w:br/>
        <w:t xml:space="preserve">Köztársaság című kisregényben megjelenő mögöttes jelentéstartalmakat, különös tekintettel a</w:t>
      </w:r>
      <w:r>
        <w:rPr>
          <w:color w:val="000000"/>
          <w:sz w:val="24"/>
          <w:szCs w:val="24"/>
        </w:rPr>
        <w:br/>
        <w:t xml:space="preserve">nevek és számok szimbolikájára, egyúttal pedig bemutassa a mű szellemiségén, jelkép- és</w:t>
      </w:r>
      <w:r>
        <w:rPr>
          <w:color w:val="000000"/>
          <w:sz w:val="24"/>
          <w:szCs w:val="24"/>
        </w:rPr>
        <w:br/>
        <w:t xml:space="preserve">utalásrendszerén keresztül az akkori korban zajló társadalmi és történelmi eseményekkel</w:t>
      </w:r>
      <w:r>
        <w:rPr>
          <w:color w:val="000000"/>
          <w:sz w:val="24"/>
          <w:szCs w:val="24"/>
        </w:rPr>
        <w:br/>
        <w:t xml:space="preserve">kapcsolatos párhuzamokat. Ennek megfelelően a dolgozat kitér a műben szereplő, fiktív Dél</w:t>
      </w:r>
      <w:r>
        <w:rPr>
          <w:color w:val="000000"/>
          <w:sz w:val="24"/>
          <w:szCs w:val="24"/>
        </w:rPr>
        <w:br/>
        <w:t xml:space="preserve">Keresztje Köztársaság, és annak fővárosa, Csillagváros, valamint a korabeli Oroszország és</w:t>
      </w:r>
      <w:r>
        <w:rPr>
          <w:color w:val="000000"/>
          <w:sz w:val="24"/>
          <w:szCs w:val="24"/>
        </w:rPr>
        <w:br/>
        <w:t xml:space="preserve">akkori székvárosa, Szentpétervár között kimutatható hasonlóságokra és egyezésekre.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13556">
    <w:multiLevelType w:val="hybridMultilevel"/>
    <w:lvl w:ilvl="0" w:tplc="524167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13556">
    <w:abstractNumId w:val="478135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591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