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lukacsadel4@gmail.com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Szentkereszty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Csábi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életminőség, az affektív tényezők és a fájdalomkatasztrofizáció kapcsolata a migrénnel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migrén; életminőség; affektív tényezők; fájdalomkatasztrofizáció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Szakirodalmi háttér és cél.</w:t>
      </w:r>
      <w:r>
        <w:rPr>
          <w:color w:val="000000"/>
          <w:sz w:val="24"/>
          <w:szCs w:val="24"/>
        </w:rPr>
        <w:t xml:space="preserve"> Korábbi kutatások bizonyították a migrén negatív hatását az életminőségre, valamint annak komponenseire. A migrénben szenvedők körében az affektív zavarok, mint társbetegségek gyakran megjelennek, valamint a migrénben szenvedők hajlamosabbak a fájdalomkatasztrofizációra, mint az egészséges egyének. Kutatásom célja annak vizsgálata, hogy milyen hatással van a migrén az életminőségre, az affektivitásra és a fájdalomkatasztrofizációra.</w:t>
      </w:r>
      <w:r>
        <w:rPr>
          <w:b/>
          <w:color w:val="000000"/>
          <w:sz w:val="24"/>
          <w:szCs w:val="24"/>
        </w:rPr>
        <w:br/>
        <w:t xml:space="preserve">Módszerek.</w:t>
      </w:r>
      <w:r>
        <w:rPr>
          <w:color w:val="000000"/>
          <w:sz w:val="24"/>
          <w:szCs w:val="24"/>
        </w:rPr>
        <w:t xml:space="preserve"> A vizsgálatomban összesen 141 fő vett részt [átlagéletkor: 30,5 év (SD: 11,1), 25 férfi és 116 nő]. A résztvevőket az életminőséget mérő Short-Form 36 Kérdőívvel (SF-36), a depresszió, a szorongás és a stressz mértékét mérő Depresszió, Szorongás és Stressz Skála (DASS-21) kérdőívvel, valamint a fájdalomkatasztrofizációt mérő Fájdalomkatasztrofizáció Kérdőívvel vizsgáltam. A résztvevőket ezek után három csoportra osztottam, öndiagnosztizált migrénes csoportra, orvos által diagnosztizált migrénes csoportra, valamint migrénben nem szenvedő kontrollcsoportra.</w:t>
      </w:r>
      <w:r>
        <w:rPr>
          <w:b/>
          <w:color w:val="000000"/>
          <w:sz w:val="24"/>
          <w:szCs w:val="24"/>
        </w:rPr>
        <w:br/>
        <w:t xml:space="preserve">Eredmények.</w:t>
      </w:r>
      <w:r>
        <w:rPr>
          <w:color w:val="000000"/>
          <w:sz w:val="24"/>
          <w:szCs w:val="24"/>
        </w:rPr>
        <w:t xml:space="preserve"> A szorongás (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&lt; 0,001) és a stressz (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0,037) mértékében szignifikáns különbség volt a migrénben szenvedő és az egészséges kontrollcsoport között, a rosszabb eredményeket a migrénben szenvedők érték el, közülük is az öndiagnosztizáltak. Az öndiagnosztizált migrénben szenvedők szignifikánsan hajlamosabbak voltak a fájdalomkatasztrofizációra (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&lt; 0,001), mint az egészséges kontrollcsoport. A Short-Form 36 Kérdőív eredményeiben a Fizikai egészségi állapot miatti korlátozottság (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&lt; 0,001), a Szociális funkcionálás (</w:t>
      </w:r>
      <w:r>
        <w:rPr>
          <w:i/>
          <w:color w:val="000000"/>
          <w:sz w:val="24"/>
          <w:szCs w:val="24"/>
        </w:rPr>
        <w:t xml:space="preserve">p </w:t>
      </w:r>
      <w:r>
        <w:rPr>
          <w:color w:val="000000"/>
          <w:sz w:val="24"/>
          <w:szCs w:val="24"/>
        </w:rPr>
        <w:t xml:space="preserve">= 0,037), valamint a Fájdalom alskálán (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&lt; 0,001) volt különbség a migrénben szenvedők és az egészséges kontrollcsoport között, a depresszió esetében (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0,236) nem jelent meg szignifikáns különbség a csoportok között.</w:t>
      </w:r>
      <w:r>
        <w:rPr>
          <w:b/>
          <w:color w:val="000000"/>
          <w:sz w:val="24"/>
          <w:szCs w:val="24"/>
        </w:rPr>
        <w:br/>
        <w:t xml:space="preserve">Következtetés.</w:t>
      </w:r>
      <w:r>
        <w:rPr>
          <w:color w:val="000000"/>
          <w:sz w:val="24"/>
          <w:szCs w:val="24"/>
        </w:rPr>
        <w:t xml:space="preserve"> Eredményeim a korábbi szakirodalommal párhuzamosan alátámasztják a migrénben szenvedők érzelmi állapotának előnytelenebb helyzetét, valamint a gyakoribb fájdalomkatasztrofizációra való hajlamot, illetve felhívja a figyelmet az öndiagnosztizált migrénben szenvedők rosszabb életminőségére, valamint társbetegségek és a fájdalomkatasztrofizáció fokozottabb jelenlétére.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88898">
    <w:multiLevelType w:val="hybridMultilevel"/>
    <w:lvl w:ilvl="0" w:tplc="52651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88898">
    <w:abstractNumId w:val="235888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355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