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MAKLÁRI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maklaricintia@gmail.com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Elektrokémiai funkcionalizálás hatása grafén-oxid diszperziók kolloidstabilitására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módosított grafén-oxid; kritikus koaguláltató koncentráció; kolloidstabilitás; nanorészecskék; réteges anyagok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egyik népszerű kutatási témája a különböző módosított szén alapú nanorészecskék alkalmazásainak lehetőségei. Kísérleti munkám során vizes közegű elektrokémiailag-, illetve foszfát-csoportokkal módosított grafén-oxid diszperziók kolloidstabilitását vizsgáltam, dinamikus fényszórás méréssel.</w:t>
      </w:r>
      <w:r>
        <w:rPr>
          <w:color w:val="000000"/>
          <w:sz w:val="24"/>
          <w:szCs w:val="24"/>
        </w:rPr>
        <w:br/>
        <w:t xml:space="preserve">Emellett, a két különböző típusú grafén-oxid nanorészecske kémiai- és nanoszerkezetét térképeztem fel, rezgési-, forgási spektroszkópiát, valamint röntgendiffrakciót felhasználva, annak érdekében, hogy ez alapján részletesen magyarázhassam a kolloidstabilitás felületkémiai okait.</w:t>
      </w:r>
      <w:r>
        <w:rPr>
          <w:color w:val="000000"/>
          <w:sz w:val="24"/>
          <w:szCs w:val="24"/>
        </w:rPr>
        <w:br/>
        <w:t xml:space="preserve">A tapasztalatok alapján kijelenthető, hogy mindkét anyag esetében a grafitszerű multiréteges szénvázon grafit-oxidra jellemző funkcionalitások voltak jelen. Az elektrokémiailag szintetizált-, valamint a foszfát-só tartalmú elektrolitból való előállítással nyert grafén-oxidok kémiailag funkcionalizálhatóak voltak. A két anyag különböző mértékű kémiai módosítást szenvedett. A dinamikus fényszórásméréssel végzett kolloidstabilitásra vonatkozó kísérletek eredménye jó egyezést mutatott a szerkezetvizsgálatok eredményeivel.</w:t>
      </w:r>
      <w:r>
        <w:rPr>
          <w:color w:val="000000"/>
          <w:sz w:val="24"/>
          <w:szCs w:val="24"/>
        </w:rPr>
        <w:br/>
        <w:t xml:space="preserve">A szóban forgó grafén anyagok, az elvégzett kísérletek alapján, alkalmasak lehetnek elektrokémiai felhasználásra (például kompozit előállítás), amely esetben a kolloid tulajdonságok ismerete praktikus információként szolgálhat. A kapott eredmények alapján érdemes lehet a mintákkal egyéb vizsgálatokat is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01577">
    <w:multiLevelType w:val="hybridMultilevel"/>
    <w:lvl w:ilvl="0" w:tplc="62924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01577">
    <w:abstractNumId w:val="38901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558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