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rekabiro22@gmail.com</w:t>
            </w:r>
            <w:r w:rsidRPr="001067CD">
              <w:rPr>
                <w:i/>
              </w:rPr>
              <w:br/>
            </w:r>
            <w:r w:rsidR="00A96AEC">
              <w:t>Vegyész 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Alapi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Kisnyomású higanygőz és KrCl excimer lámpa hatékonyságának összehasonlítása UV/H2O2 és UV/PDS eljárások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vízkezelés;antibiotikum;excimer;mátrixhatás;fotolízis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számos biológiai hatással bíró, perzisztens mikroszennyező kerül felszíni és felszín alatti vizeinkbe, közegészségügyi és környezeti problémákat okozva. A SO4</w:t>
      </w:r>
      <w:r>
        <w:rPr>
          <w:color w:val="000000"/>
          <w:position w:val="4"/>
          <w:sz w:val="21"/>
          <w:szCs w:val="21"/>
          <w:vertAlign w:val="superscript"/>
        </w:rPr>
        <w:t xml:space="preserve">•–</w:t>
      </w:r>
      <w:r>
        <w:rPr>
          <w:color w:val="000000"/>
          <w:sz w:val="24"/>
          <w:szCs w:val="24"/>
        </w:rPr>
        <w:t xml:space="preserve"> és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generálásán alapuló nagyhatékonyságú oxidációs eljárások kiegészítő vízkezelési módszerként lehetőséget kínálnak ezen vegyületek hatékony eltávolítására az ivóvíz kezelés során.</w:t>
      </w:r>
      <w:r>
        <w:rPr>
          <w:color w:val="000000"/>
          <w:sz w:val="24"/>
          <w:szCs w:val="24"/>
        </w:rPr>
        <w:br/>
        <w:t xml:space="preserve">A kisnyomású higanygőzlámpa (LPM) a vízkezelésben elterjedten használt fényforrás, mely 254 nm-es fényt bocsát ki. Az LPM lámpa alternatívája lehet a 222 nm-es fényt kibocsátó KrCl excimer lámpa, melynek használata a Covid-19 világjárvány alatt terjedt el, elsősorban felületek és légterek fertőtlenítésére. Munkánk során UV/H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UV/PDS (PDS: peroxo-diszulfátion, S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8</w:t>
      </w:r>
      <w:r>
        <w:rPr>
          <w:color w:val="000000"/>
          <w:position w:val="4"/>
          <w:sz w:val="21"/>
          <w:szCs w:val="21"/>
        </w:rPr>
        <w:t xml:space="preserve">2-</w:t>
      </w:r>
      <w:r>
        <w:rPr>
          <w:color w:val="000000"/>
          <w:sz w:val="24"/>
          <w:szCs w:val="24"/>
        </w:rPr>
        <w:t xml:space="preserve">) módszerek hatékonyságát vizsgáltuk a két fényforrás esetén, szerves modellvegyületként trimetoprim antibiotikumot használva.</w:t>
      </w:r>
      <w:r>
        <w:rPr>
          <w:color w:val="000000"/>
          <w:sz w:val="24"/>
          <w:szCs w:val="24"/>
        </w:rPr>
        <w:br/>
        <w:t xml:space="preserve">Az azonos elektromos teljesítmény (15 W) ellenére az LPM lámpa fotonfluxusa egy nagyságrenddel nagyobb, mint az excimer lámpáé. Azonban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 PDS 222 nm-re vonatkozó moláris abszorbanciája jelentősen meghaladja a 254 nm-re vonatkozó értéket, ami a foton fluxusból származó hátrányt részben kompenzálja. Ennek következménye, hogy az LPM lámpa esetén mindkét oxidálószer átalakulási sebessége csak kétszerese az excimer lámpa esetén mértnek. Azonban nem csak az oxidálószerek, de a trimetoprim, és a biológiai kezelt kommunális víz, mint mátrix komponenseinek abszorbanciája is számottevően nő a hullámhosszúság csökkenésével. Következésképpen az oxidálószer, a mátrix szerves és szervetlen komponensei és a trimetoprim között kialakuló kompetíció a fotonokért a két fényforrás esetén különböző mértékben befolyásolja a szerves célvegyület átalakulásáért felelős gyökök képződésének a sebességét.</w:t>
      </w:r>
      <w:r>
        <w:rPr>
          <w:color w:val="000000"/>
          <w:sz w:val="24"/>
          <w:szCs w:val="24"/>
        </w:rPr>
        <w:br/>
        <w:t xml:space="preserve">A 222 nm-es KrCl excimer lámpa korlátai ellenére jó alternatívája lehet a vízkezelésben használt kisnyomású higanygőzlámpának az UV/PDS és UV/H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eljárásoknál. A szervetlen és a szerves vegyületek 222 nm-re vonatkozó nagyobb moláris abszorbanciái miatt azonban az egyes komponensek között sokkal erősebb verseny alakul ki a fotonokért, mint a 254 nm-es fotolízis esetében, amit mindenképpen figyelembe kell venni a működési paraméterek optimalizálása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49520">
    <w:multiLevelType w:val="hybridMultilevel"/>
    <w:lvl w:ilvl="0" w:tplc="30583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49520">
    <w:abstractNumId w:val="70749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057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