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DORINA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dorinagalgd@gmail.com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Cl− + NH2I reakció dinamikájának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nitrogén központ; bimolekuláris nukleofil szubsztitúció; reakciódinamika; átmeneti állapot; kvázi-klasszikus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Cl</w:t>
      </w:r>
      <w:r>
        <w:rPr>
          <w:color w:val="000000"/>
          <w:position w:val="4"/>
          <w:sz w:val="21"/>
          <w:szCs w:val="21"/>
          <w:vertAlign w:val="superscript"/>
        </w:rPr>
        <w:t xml:space="preserve">─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 reakción keresztül vizsgáljuk a nitrogén központú bimolekuláris nukleofil szubsztitúciós (S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2) reakciók viselkedését. A tárgyalt reakciótípus részletes dinamikájának tanulmányozása a 20. század végén kezdődött [1]. Kutatócsoportunk 2018 óta foglalkozik N központi atomot tartalmazó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reakciókkal [2,3,4]. A többféle rendszerre elvégzett számítások eredményeinek összehasonlításán keresztül tanulmányozhatjuk, hogy hogyan hatnak a különböző nukleofilek és távozó ionok a reakciók kimenetelére és mechanizmusaira.</w:t>
      </w:r>
      <w:r>
        <w:rPr>
          <w:color w:val="000000"/>
          <w:sz w:val="24"/>
          <w:szCs w:val="24"/>
        </w:rPr>
        <w:br/>
        <w:t xml:space="preserve">Elsődleges célunk egy teljes dimenziós analitikus ab initio potenciálisenergia-felület (potential energy surface, PES) fejlesztése volt a Cl</w:t>
      </w:r>
      <w:r>
        <w:rPr>
          <w:color w:val="000000"/>
          <w:position w:val="4"/>
          <w:sz w:val="21"/>
          <w:szCs w:val="21"/>
          <w:vertAlign w:val="superscript"/>
        </w:rPr>
        <w:t xml:space="preserve">─</w:t>
      </w:r>
      <w:r>
        <w:rPr>
          <w:color w:val="000000"/>
          <w:sz w:val="24"/>
          <w:szCs w:val="24"/>
        </w:rPr>
        <w:t xml:space="preserve"> +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 rendszerre, amelynek segítségével lehetőségünk nyílik az atommagok mozgásának követésére a reakció során. A csoportunkban korábban már feltérképezett stacionárius pontokat újabb szerkezetekkel bővítettük. Ezt követően a PES-en megkerestük a fontosabb stacionárius pontokat és összehasonlítottuk a kapott energia értékeket a megfelelő nagypontosságú ab initio energiákkal.</w:t>
      </w:r>
      <w:r>
        <w:rPr>
          <w:color w:val="000000"/>
          <w:sz w:val="24"/>
          <w:szCs w:val="24"/>
        </w:rPr>
        <w:br/>
        <w:t xml:space="preserve">A PES-en futtatott kvázi-klasszikus trajektória (quasi-classical trajectory, QCT) szimulációk segítségével követtük a különböző reakcióutakat. A termékekre számított szórási szögeloszlásból, valamint a termékek belső, illetve relatív transzlációs energia eloszlásaiból tudtunk következtetni arra, hogy milyen mechanizmusok vannak jelen a reakció során. Emellett a reakció sztereodinamikájának vizsgálatára is volt lehetőség, amely központi kérdés a nem szénközpontú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folyamatok esetén. Különböző ütközési energiákon vizsgálva a reakciót azt találtuk, hogy 40 kcal/mol alatti energiák esetén az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szinte egyeduralkodó, magasabb energiákon viszont egyéb reakciótípusok is megjelennek (pl.: proton-transzfer).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J. Xie, W. L. Hase, Science, 352, 32 (2016)</w:t>
      </w:r>
      <w:r>
        <w:rPr>
          <w:color w:val="000000"/>
          <w:sz w:val="24"/>
          <w:szCs w:val="24"/>
        </w:rPr>
        <w:br/>
        <w:t xml:space="preserve">[2] B. Hajdu, G. Czakó, J. Phys. Chem. A, 122, 1886 (2018)</w:t>
      </w:r>
      <w:r>
        <w:rPr>
          <w:color w:val="000000"/>
          <w:sz w:val="24"/>
          <w:szCs w:val="24"/>
        </w:rPr>
        <w:br/>
        <w:t xml:space="preserve">[3] D. Papp, G. Czakó, Chem. Sci., 12, 5410 (2021)</w:t>
      </w:r>
      <w:r>
        <w:rPr>
          <w:color w:val="000000"/>
          <w:sz w:val="24"/>
          <w:szCs w:val="24"/>
        </w:rPr>
        <w:br/>
        <w:t xml:space="preserve">[4] A. Giricz, G. Czakó, D. Papp, Chem. Eur. J., 29, e202302113 (2023)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52139">
    <w:multiLevelType w:val="hybridMultilevel"/>
    <w:lvl w:ilvl="0" w:tplc="7197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52139">
    <w:abstractNumId w:val="56052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070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