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KLIMA DÖNÍZ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doncsi27@gmail.com</w:t>
            </w:r>
            <w:r w:rsidRPr="001067CD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Apjok Vivien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„…eleven hangulat és élni akarás…”. A vajdasági táncházmozgalom kezdetei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vajdasági táncházmozgalom, táncház zenekarok, hálózatkutatás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vajdasági táncházmozgalom kialakulásának és működésének feltárására törekszem. Kutatásom célja, hogy megértsem a mozgalom létrejöttének körülményeit és előzményeit, azonosítsam a központi szereplőket. Vizsgálom a vajdasági táncházmozgalom főbb helyszíneit, műhelyeit, mindezt a korszak társadalmi-politikai kontextusába ágyazva.</w:t>
      </w:r>
      <w:r>
        <w:rPr>
          <w:color w:val="000000"/>
          <w:sz w:val="24"/>
          <w:szCs w:val="24"/>
        </w:rPr>
        <w:br/>
        <w:t xml:space="preserve">Kiemelt figyelmet fordítok a zenészek és táncosok tanulási folyamataira: milyen forrásokból merítettek, hogyan szerezték és osztották meg egymással az archív anyagokat. Kutatásom továbbá a vajdasági táncházmozgalom helyi közösségekre gyakorolt hatását is elemzi.</w:t>
      </w:r>
      <w:r>
        <w:rPr>
          <w:color w:val="000000"/>
          <w:sz w:val="24"/>
          <w:szCs w:val="24"/>
        </w:rPr>
        <w:br/>
        <w:t xml:space="preserve">A mozgalom szövevényes hálózatának feltárásához a hálózatkutatás módszerét alkalmazom, azonosítva a központi szereplőket, kapcsolataikat és az információáramlás útvonalait. Ezáltal lehetőség nyílik a vajdasági és magyarországi táncházmozgalom közötti kapcsolat részletesebb elemzésére is. A dolgozat kísérletet tesz a vajdasági táncházmozgalom fogalom értelmezésére is, melynek kiterjedtebb teoretizálása a további kutatások feladata lesz.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12172">
    <w:multiLevelType w:val="hybridMultilevel"/>
    <w:lvl w:ilvl="0" w:tplc="10938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12172">
    <w:abstractNumId w:val="119121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233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