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ADORJÁN ARMAND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adorjanarmand@gmail.com</w:t>
            </w:r>
            <w:r w:rsidRPr="001067CD">
              <w:rPr>
                <w:i/>
              </w:rPr>
              <w:br/>
            </w:r>
            <w:r w:rsidR="00A96AEC">
              <w:t>Festőművész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Losonczy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X; Y; 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Formázott vászon; hard edge;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X;Y;Z</w:t>
      </w:r>
      <w:r>
        <w:rPr>
          <w:color w:val="000000"/>
          <w:sz w:val="24"/>
          <w:szCs w:val="24"/>
        </w:rPr>
        <w:br/>
        <w:t xml:space="preserve">Adorján Armand Zoltán</w:t>
      </w:r>
      <w:r>
        <w:rPr>
          <w:color w:val="000000"/>
          <w:sz w:val="24"/>
          <w:szCs w:val="24"/>
        </w:rPr>
        <w:br/>
        <w:t xml:space="preserve">Pécsi Tudományegyetem Művészeti kar</w:t>
      </w:r>
      <w:r>
        <w:rPr>
          <w:color w:val="000000"/>
          <w:sz w:val="24"/>
          <w:szCs w:val="24"/>
        </w:rPr>
        <w:br/>
        <w:t xml:space="preserve">Festőművész szak, V. évfolyam</w:t>
      </w:r>
      <w:r>
        <w:rPr>
          <w:color w:val="000000"/>
          <w:sz w:val="24"/>
          <w:szCs w:val="24"/>
        </w:rPr>
        <w:br/>
        <w:t xml:space="preserve">Témavezető: Dr. habil. Losonczy István DLA</w:t>
      </w:r>
      <w:r>
        <w:rPr>
          <w:color w:val="000000"/>
          <w:sz w:val="24"/>
          <w:szCs w:val="24"/>
        </w:rPr>
        <w:br/>
        <w:t xml:space="preserve">A pályamunka a vászonformázás lehetőségeinek kiaknázására tett kísérlet. Igyekszik</w:t>
      </w:r>
      <w:r>
        <w:rPr>
          <w:color w:val="000000"/>
          <w:sz w:val="24"/>
          <w:szCs w:val="24"/>
        </w:rPr>
        <w:br/>
        <w:t xml:space="preserve">túllépni a festészet síkbeli felfogásán, és kilépni a háromdimenziós térbe. A kép vakrámára</w:t>
      </w:r>
      <w:r>
        <w:rPr>
          <w:color w:val="000000"/>
          <w:sz w:val="24"/>
          <w:szCs w:val="24"/>
        </w:rPr>
        <w:br/>
        <w:t xml:space="preserve">feszített vászon, amely alatt a meghúzódó lécek helyenként kidomborítják a felületét. Erre a</w:t>
      </w:r>
      <w:r>
        <w:rPr>
          <w:color w:val="000000"/>
          <w:sz w:val="24"/>
          <w:szCs w:val="24"/>
        </w:rPr>
        <w:br/>
        <w:t xml:space="preserve">hullámzóra kialakított hordozóra dolgozom eltérő anyagokkal, akrilt használok az alapozásra,</w:t>
      </w:r>
      <w:r>
        <w:rPr>
          <w:color w:val="000000"/>
          <w:sz w:val="24"/>
          <w:szCs w:val="24"/>
        </w:rPr>
        <w:br/>
        <w:t xml:space="preserve">melynek felületén frottage technikát alkalmazok, majd erre kerülnek fel olajfestékkel a</w:t>
      </w:r>
      <w:r>
        <w:rPr>
          <w:color w:val="000000"/>
          <w:sz w:val="24"/>
          <w:szCs w:val="24"/>
        </w:rPr>
        <w:br/>
        <w:t xml:space="preserve">geometrikusformák. Különböző anyagi minőségekkel, és hatásokkal kísérletezek a képen.</w:t>
      </w:r>
      <w:r>
        <w:rPr>
          <w:color w:val="000000"/>
          <w:sz w:val="24"/>
          <w:szCs w:val="24"/>
        </w:rPr>
        <w:br/>
        <w:t xml:space="preserve">Ilyen a vastag festékréteg, a helyenként alkalmazott lakkozás, a nyersvászon meghagyása,</w:t>
      </w:r>
      <w:r>
        <w:rPr>
          <w:color w:val="000000"/>
          <w:sz w:val="24"/>
          <w:szCs w:val="24"/>
        </w:rPr>
        <w:br/>
        <w:t xml:space="preserve">valamint a grafit használata, Az utóbbi esetében a vetett árnyék illúzióját igyekszem kelteni</w:t>
      </w:r>
      <w:r>
        <w:rPr>
          <w:color w:val="000000"/>
          <w:sz w:val="24"/>
          <w:szCs w:val="24"/>
        </w:rPr>
        <w:br/>
        <w:t xml:space="preserve">vele, ezzel egy olyan bizonytalanságot létrehozva a képen, hogy a néző nem tudja</w:t>
      </w:r>
      <w:r>
        <w:rPr>
          <w:color w:val="000000"/>
          <w:sz w:val="24"/>
          <w:szCs w:val="24"/>
        </w:rPr>
        <w:br/>
        <w:t xml:space="preserve">egyértelműen, melyik elem emelkedik ki a valós térbe, és melyek azok, amelyek csak úgy</w:t>
      </w:r>
      <w:r>
        <w:rPr>
          <w:color w:val="000000"/>
          <w:sz w:val="24"/>
          <w:szCs w:val="24"/>
        </w:rPr>
        <w:br/>
        <w:t xml:space="preserve">tesznek. A munkát festett reliefnek tartom, mely így a szobrászat és a festészet határán billeg.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47309">
    <w:multiLevelType w:val="hybridMultilevel"/>
    <w:lvl w:ilvl="0" w:tplc="863156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47309">
    <w:abstractNumId w:val="144473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6212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