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boglya3@gmail.com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Vekety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Winkler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"Csak az ember olvas" - Szövegértési-és anyanyelvi kompetenciák fejlesztése a Piliscsabai Tanodában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Szövegértés;Hátrányos helyzet;Tanoda;Fejlesztés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egy aktuális, releváns témával foglalkoztam, mely időszerű és fontos kérdéseket vet fel a gyermekek és fiatalok (7-14 éves) szövegértési készségeiről. A vizsgálat középpontjában a Piliscsabai Tanodát igénybe vevő gyermekek szövegértési fejlődése áll. Összefoglaltam a legfontosabb magyar és nemzetközi eredményeket, kitértem különböző szövegértésfejlesztő stratégiákra, hátránykompenzáló, lemorzsolódást megelőző programokra, illetve bemutattam a tanodák rendszerét is Magyarországon.</w:t>
      </w:r>
      <w:r>
        <w:rPr>
          <w:color w:val="000000"/>
          <w:sz w:val="24"/>
          <w:szCs w:val="24"/>
        </w:rPr>
        <w:br/>
        <w:t xml:space="preserve">A tanodás gyermekek teljesítménye, eredményei igazolták hipotéziseimet. A gyermekek fejlődtek a bemeneti mérés és a kimeneti mérés eredményei függvényében (t(25)=6,798; p&lt;0,001). Azok a tanodások, akiknek erős énhatékonysága van a kérdőív tanulásra, koncentrációra vonatkozó alskála átlageredményei alapján, tanév végére is jobb jegyet tudtak szerezni magyar nyelv-és irodalomból (F=27,340; p&lt;0,001 és r=0,730 és p&lt;0,001). Azok a gyermekek, akik hosszabb ideje veszik igénybe a tanoda szolgáltatásait (tanév), jobban tudtak fejlődni a többieknél (F=6,477; p=0,018; p&lt;0,001; r=0,461).</w:t>
      </w:r>
      <w:r>
        <w:rPr>
          <w:color w:val="000000"/>
          <w:sz w:val="24"/>
          <w:szCs w:val="24"/>
        </w:rPr>
        <w:br/>
        <w:t xml:space="preserve">Kutatásom illeszkedik azon szövegértési készségeket megcélzó kutatások és vizsgálatok közé, melyek a hátrányos és halmozottan hátrányos helyzetű gyermekekkel foglalkoznak. Dolgozatom végén arra is reflektálok, miként lehet érdemes folytatni, bővíteni a témám. Mindezek mellett kitérek a kutatásom hátráltató tényezőire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07524">
    <w:multiLevelType w:val="hybridMultilevel"/>
    <w:lvl w:ilvl="0" w:tplc="53382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07524">
    <w:abstractNumId w:val="70707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148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