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 BENDEGÚZ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vasbende@gmail.com</w:t>
            </w:r>
            <w:r w:rsidRPr="001067CD">
              <w:rPr>
                <w:i/>
              </w:rPr>
              <w:br/>
            </w:r>
            <w:r w:rsidR="00A96AEC">
              <w:t>Festőművész 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Losonczy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Festmény kettős megvilágításban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Festmény, kettősportré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Megindokolható-e, releváns festészetnek tekinthető-e, egy első pillantásra klasszikus, szinte dokumentativ részletességgel készült, egész alakos kettősportré napjaink festészetében? Amennyiben igen, mik lehetnek ezek az indokok, mi motiválhat egy festőt arra hogy ilyet fessen? Dolgozatomban ezekre a kérdésekre igyekszem választ adni, barátaim kettősportréján keresztül.</w:t>
      </w:r>
      <w:r>
        <w:rPr>
          <w:color w:val="000000"/>
          <w:sz w:val="24"/>
          <w:szCs w:val="24"/>
        </w:rPr>
        <w:br/>
        <w:t xml:space="preserve">A szöveg írása közben szembesülnöm kellett azzal, mennyire is nehéz összegezni, kifejezni azt az utat, amit az ecsettel a lelki dimenzióban, és a vászon fizikai valójában bejártam abban az 5 hónapban amíg ez a festmény készült. Csak félmegoldásokat adhatok. Az volna ideális, ha egyszerre tudnék erről az egészről érzelmi és festészeti-esztétikai megvilágításban írni. Bár az is lehet az így születő szöveg inkább lenne vers, mint próza.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636316">
    <w:multiLevelType w:val="hybridMultilevel"/>
    <w:lvl w:ilvl="0" w:tplc="22094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636316">
    <w:abstractNumId w:val="696363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0351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