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TAKÁCS BRIGITTA</w:t>
            </w:r>
          </w:p>
          <w:p w:rsidR="00C275A3" w:rsidRDefault="00CA6B74" w:rsidP="00C275A3">
            <w:pPr>
              <w:pStyle w:val="Hallgatokepzes"/>
            </w:pPr>
            <w:r w:rsidRPr="001067CD">
              <w:rPr>
                <w:i/>
              </w:rPr>
              <w:t>brigitta.takacs0120@gmail.com</w:t>
            </w:r>
            <w:r w:rsidRPr="001067CD">
              <w:rPr>
                <w:i/>
              </w:rPr>
              <w:br/>
            </w:r>
            <w:r w:rsidR="00A96AEC">
              <w:t>anglisztika</w:t>
            </w:r>
            <w:r w:rsidR="00A96AEC">
              <w:br/>
            </w:r>
            <w:r w:rsidR="00E77B23">
              <w:t>MA, 2. félév</w:t>
            </w:r>
          </w:p>
          <w:p w:rsidR="00C265CE" w:rsidRPr="009E5FF1" w:rsidRDefault="00E77B23" w:rsidP="00BA6BAF">
            <w:pPr>
              <w:pStyle w:val="Hallgatointezmeny-kar"/>
              <w:rPr>
                <w:b/>
                <w:caps/>
              </w:rPr>
            </w:pPr>
            <w:r>
              <w:t>Károli Gáspár Református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Kállay G. Katalin</w:t>
            </w:r>
          </w:p>
          <w:p w:rsidR="00DB4822" w:rsidRDefault="00DB4822" w:rsidP="00BA6BAF">
            <w:pPr>
              <w:pStyle w:val="Konzulensektitulus"/>
            </w:pPr>
            <w:r w:rsidRPr="00DB4822">
              <w:t>egyetemi docens, KRE BTK</w:t>
            </w:r>
          </w:p>
        </w:tc>
      </w:tr>
      <w:tr w:rsidR="00DB4822" w:rsidTr="00DB4822">
        <w:tc>
          <w:tcPr>
            <w:tcW w:w="9854" w:type="dxa"/>
          </w:tcPr>
          <w:p w:rsidR="00DB4822" w:rsidRPr="00DB4822" w:rsidRDefault="00DB4822" w:rsidP="00BA6BAF">
            <w:pPr>
              <w:pStyle w:val="Konzulenseknev"/>
            </w:pPr>
            <w:r w:rsidRPr="00DB4822">
              <w:t>Dr. Ruttkay Veronika</w:t>
            </w:r>
          </w:p>
          <w:p w:rsidR="00DB4822" w:rsidRDefault="00DB4822" w:rsidP="00BA6BAF">
            <w:pPr>
              <w:pStyle w:val="Konzulensektitulus"/>
            </w:pPr>
            <w:r w:rsidRPr="00DB4822">
              <w:t>egyetemi docens,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Mirror of Innocence in Henry James's The Turn of the Screw / A tükör motívum Henry James A csavar fordul egyet című művében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mirror, reflection, perception, interpretation, innocence</w:t>
      </w:r>
      <w:r>
        <w:t xml:space="preserve"/>
      </w:r>
    </w:p>
    <w:p>
      <w:pPr>
        <w:widowControl w:val="on"/>
        <w:pBdr/>
        <w:spacing w:before="240" w:after="240" w:line="240" w:lineRule="auto"/>
        <w:ind w:left="0" w:right="0"/>
        <w:jc w:val="left"/>
      </w:pPr>
      <w:r>
        <w:rPr>
          <w:color w:val="000000"/>
          <w:sz w:val="24"/>
          <w:szCs w:val="24"/>
        </w:rPr>
        <w:t xml:space="preserve">The Mirror of Innocence in Henry James's The Turn of the Screw</w:t>
      </w:r>
    </w:p>
    <w:p>
      <w:pPr>
        <w:widowControl w:val="on"/>
        <w:pBdr/>
        <w:spacing w:before="240" w:after="240" w:line="240" w:lineRule="auto"/>
        <w:ind w:left="0" w:right="0"/>
        <w:jc w:val="left"/>
      </w:pPr>
      <w:r>
        <w:rPr>
          <w:color w:val="000000"/>
          <w:sz w:val="24"/>
          <w:szCs w:val="24"/>
        </w:rPr>
        <w:t xml:space="preserve">Several multidisciplinary approaches—literary, psychoanalytic, and philosophical—shed light on the diverse ways readers interpret The Turn of the Screw. However, these perspectives often appear fragmented, coming across as a collection of disparate assertions rather than unified by a cohesive motif. This fragmentation highlights the need for a more focused, in-depth study to bridge these interpretations. This study aims to explore how the mirror motif can offer a bridge between different readings, even allowing contradictory parts to fit by relying on connecting concepts. Previous research, by Shoshana Felman, for example, offers a psychoanalytical insight, based on Edmund Wilson's "Freudian reading" of The Turn of the Screw. The title of the chapter, “Henry James: Madness and the Risks of Practice (Turning the Screw of Interpretation),” presents that she has decided on the governess’s madness, even though the novella is often highlighted among others due to its ambiguity on many aspects—some that Felman discusses, like how the reader is left with questions and those can lead them to madness. However, Freud’s theory on the uncanny (Das Unheimliche) could be applied to the children and not just the governess or the ghosts. By looking at the character of the children as possible mirrors of the governess’s personality, this paper wishes to investigate the possible expansions of interpretations. In my paper, I intend to examine the narration, the connection between the mirror and the theme of innocence—and how it changes depending on the observer—the duality of innocence and corruption, and the relationship between reality and fiction through distortion. I aim to develop the various concepts through the three scenes: the part, where the governess faces a full-length mirror for the first time, another scene where she is looking out the window and Quint looks back at her and finally, when she is at the lake and catches sight of Miss Jessel. All three encounters offer different insights into the mental state of the governess: repression, paranoia and hysteria. This structure also allows the introduction of correlating concepts such as innocence, femininity, or authority.</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461696">
    <w:multiLevelType w:val="hybridMultilevel"/>
    <w:lvl w:ilvl="0" w:tplc="638430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461696">
    <w:abstractNumId w:val="144616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8764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