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SCHMID KRISZTIÁN JÓZSEF</w:t>
            </w:r>
          </w:p>
          <w:p w:rsidR="00C275A3" w:rsidRDefault="00CA6B74" w:rsidP="00C275A3">
            <w:pPr>
              <w:pStyle w:val="Hallgatokepzes"/>
            </w:pPr>
            <w:r w:rsidRPr="001067CD">
              <w:rPr>
                <w:i/>
              </w:rPr>
              <w:t>schmidsedric@gmail.com</w:t>
            </w:r>
            <w:r w:rsidRPr="001067CD">
              <w:rPr>
                <w:i/>
              </w:rPr>
              <w:br/>
            </w:r>
            <w:r w:rsidR="00A96AEC">
              <w:t>Finance</w:t>
            </w:r>
            <w:r w:rsidR="00A96AEC">
              <w:br/>
            </w:r>
            <w:r w:rsidR="00E77B23">
              <w:t>MSc, 2.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Kosztopulosz Andreász</w:t>
            </w:r>
          </w:p>
          <w:p w:rsidR="00DB4822" w:rsidRDefault="00DB4822" w:rsidP="00BA6BAF">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UNDERPRICINGS OF INITIAL PUBLIC OFFERINGS: EVIDENCE FROM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IPO; issuing shares; underpricing; short-run underpricing</w:t>
      </w:r>
      <w:r>
        <w:t xml:space="preserve"/>
      </w:r>
    </w:p>
    <w:p>
      <w:pPr>
        <w:widowControl w:val="on"/>
        <w:pBdr/>
        <w:spacing w:before="240" w:after="240" w:line="240" w:lineRule="auto"/>
        <w:ind w:left="0" w:right="0"/>
        <w:jc w:val="left"/>
      </w:pPr>
      <w:r>
        <w:rPr>
          <w:color w:val="000000"/>
          <w:sz w:val="24"/>
          <w:szCs w:val="24"/>
        </w:rPr>
        <w:t xml:space="preserve">One internationally popular topic in the field of stock market financing is the underpricing of newly issued shares in initial public offerings (collectively IPOs). The often observed underpricing of IPO shares is a significant indirect cost of IPOs and IPO financing, which should be taken into account by financial management in practical corporate finance decisions. It is particularly important to address this issue in the context of the Hungarian stock market, as the BSE Xtend, which is optimised for SMEs, has been steadily expanding since 2017.</w:t>
      </w:r>
    </w:p>
    <w:p>
      <w:pPr>
        <w:widowControl w:val="on"/>
        <w:pBdr/>
        <w:spacing w:before="240" w:after="240" w:line="240" w:lineRule="auto"/>
        <w:ind w:left="0" w:right="0"/>
        <w:jc w:val="left"/>
      </w:pPr>
      <w:r>
        <w:rPr>
          <w:color w:val="000000"/>
          <w:sz w:val="24"/>
          <w:szCs w:val="24"/>
        </w:rPr>
        <w:t xml:space="preserve">Since no Hungarian research on IPO shares of Hungarian listed companies has been published since the early 2000s, I believe that Hungarian financial literature is still lacking in summarising the theories on underpricing and examining them in practice. The aim of my research is to outline the factors of underpricing of IPO shares. In doing so, I have summarised the possible theories that could explain the phenomenon of underpricing and then grouped them into four main theoretical categories. In principle, the literature explains underpricing through approaches related to information asymmetry, institutional economics theories, behavioural finance and the retention of control in the stock market. To test the theories in practice, I examined Hungarian IPOs over the past 20 years and conducted a comparative case study analysis.</w:t>
      </w:r>
    </w:p>
    <w:p>
      <w:pPr>
        <w:widowControl w:val="on"/>
        <w:pBdr/>
        <w:spacing w:before="240" w:after="240" w:line="240" w:lineRule="auto"/>
        <w:ind w:left="0" w:right="0"/>
        <w:jc w:val="left"/>
      </w:pPr>
      <w:r>
        <w:rPr>
          <w:color w:val="000000"/>
          <w:sz w:val="24"/>
          <w:szCs w:val="24"/>
        </w:rPr>
        <w:t xml:space="preserve">My analysis suggests that the underpricing of IPO shares is influenced by general market trends, investor sentiment, the extent of IPO marketing activities of the issuing companies, the professional and public perception of the issuer's management, the underwriting of the IPO by investment firms, and the stability of the tax regime, which also affects the capital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92582">
    <w:multiLevelType w:val="hybridMultilevel"/>
    <w:lvl w:ilvl="0" w:tplc="78781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392582">
    <w:abstractNumId w:val="123925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03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