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solymeszter@student.elte.hu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Kádár Judit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gépi műfordítás elemzése Oscar Wilde A boldog herceg c. művén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fordítás; műfordítás; fordítómotorok; angol-magyar fordítás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gépi fordítómotorok fejlődése jelentős hatással bír a fordítás minden területére, beleértve a műfordításra is. Újabban többen bizonyították, hogy a neurális gépi fordítás (NMT) módszer növeli a termelékenységet és a korábban domináns statisztikai gépi fordításnál (SMT) jobb eredményeket ér el. Ennélfogva könnyen feltételezhető, hogy a fordítómotorok az emberi fordítóktól alapvetően eltérő működésük ellenére „behatolhatnak” a műfordítás területére.</w:t>
      </w:r>
      <w:r>
        <w:rPr>
          <w:color w:val="000000"/>
          <w:sz w:val="24"/>
          <w:szCs w:val="24"/>
        </w:rPr>
        <w:br/>
        <w:t xml:space="preserve">Dolgozatom célja annak szemléltetése, hogy egy kereskedelmi fordítómotor képes-e utószerkesztés nélkül elfogadható szépirodalmi műfordítást létrehozni. Oscar Wilde A boldog herceg c. 1888-ban megjelent novellájának/meséjének két magyar fordítását vizsgáltam, amelyet a Microsoft Translator és a DeepL alkalmazással hoztam létre és Lengyel Balázs fordításával vetettem össze. Elemzésem a szövegtípusnál fogva szigorúan szubjektív, és a fordítómotorok fordítási stratégiáját, annak stilisztikai hatását, valamint a fordításokra általában jellemző visszatérő hibatípusokat írja le. Emellett röviden tárgyalom a felhasznált fordítómotorok előnyeit és korlátait.</w:t>
      </w:r>
      <w:r>
        <w:rPr>
          <w:color w:val="000000"/>
          <w:sz w:val="24"/>
          <w:szCs w:val="24"/>
        </w:rPr>
        <w:br/>
        <w:t xml:space="preserve">Kísérletem rávilágít arra, hogy a fordítómotorok, kiváltképp a DeepL, bizonyos mértékben alkalmazzák az emberi fordítókra jellemző átváltási műveleteket, nyelvhasználatuk viszont helyenként kevésbé anyanyelvi és inkább jellemző az informatív szövegekre, még egy szépirodalmi mű fordításakor is. Továbbá a géppel fordított szövegekben előforduló lexikai és grammatikai hibák arra mutatnak, hogy az angol-magyar nyelvpár esetében a gépi fordíthatóság korlátozott, a kereskedelmi fordítómotorok pedig utószerkesztés nélkül nem alkalmasak szépirodalmi művek fordítására.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74633">
    <w:multiLevelType w:val="hybridMultilevel"/>
    <w:lvl w:ilvl="0" w:tplc="92679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74633">
    <w:abstractNumId w:val="36474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150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