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kovacs.zita.0121@gmail.com</w:t>
            </w:r>
            <w:r w:rsidRPr="001067CD">
              <w:rPr>
                <w:i/>
              </w:rPr>
              <w:br/>
            </w:r>
            <w:r w:rsidR="00A96AEC">
              <w:t>Történelem-olasz osztatlan tanári - OTKNOLA-OTKATOR (egységes, osztatlan képzés) ([Nappali])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Dávid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"…i Gesuiti d'Italia ammazzano spiritualmente, non già colla corda e col ferro, ma colla lingua, come i rettili…" Jezsuiták a Risorgimento korában: a traktátustól a regényig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Risorgimento; jezsuita; traktátus; regény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minden táján már a 18. század elejétől kemény vádak érték a jezsuita rendet: a 19. századi Itáliában az egyház szerepéhez kapcsolódó kérdések fókuszában is a Jézus Társasága, a rendtagok által elkövetett becstelenségek álltak. A vita legfontosabb kérdései többek között a pápaság világi hatalmának megszüntetését, a szekularizációt, a katolikus egyház belső reformját, az evangéliumhoz való visszatérést, a pápák és a papság (főként a jezsuiták) világiasságát, a jezsuita rend feloszlatását érintették. A Risorgimento korának számos politikusa és filozófusa kifejtette véleményét az egyház és a vallás korabeli, illetve ideális állapotáról: az egységes Olaszország létrehozásában pedig a szekularizációt elengedhetetlen lépésnek tekintették.</w:t>
      </w:r>
      <w:r>
        <w:rPr>
          <w:color w:val="000000"/>
          <w:sz w:val="24"/>
          <w:szCs w:val="24"/>
        </w:rPr>
        <w:br/>
        <w:t xml:space="preserve">A szekularizációs törekvések oldaláról megfogalmazott kritika, azon belül is a dolgozatomban vizsgált Gioberti-Curci vita (1843-1849) keretében felvetett kérdések a Risorgimento hatására változtak olyan elemmé, amely az új olasz államot és vele együtt Itália történelmének 19. századi alakulását alapjaiban meghatározta.</w:t>
      </w:r>
      <w:r>
        <w:rPr>
          <w:color w:val="000000"/>
          <w:sz w:val="24"/>
          <w:szCs w:val="24"/>
        </w:rPr>
        <w:br/>
        <w:t xml:space="preserve">A munkám újszerűségéhez mind a kutatás tárgya, mind pedig a választott vizsgálati szempont hozzájárul, ami segíthet a Risorgimento idején végbement változásokat az adott korszak vonatkozásában és az utókor oldaláról is jobban megismerni, a megfelelő kontextusba állítani. Meggyőződésem, hogy ebben a munkában kitüntetett hely illeti a Risorgimento utáni irodalom vizsgálatát. A kutatási módszerem is ezt a nézőpontot tükrözi: dolgozatomban a Risorgimento korában játszódó vagy a nemzetegyesítés témájára reflektáló szépirodalmi művek és a korabeli traktátus-irodalom azonos témák mentén való elemzése segít feltárni az itáliai szekularizáció folyamatát abból a szempontból, ahogyan azt bizonyos társadalmi csoportok megélték. Fontos részeredménynek tartom továbbá, hogy munkámmal hozzájárulhatok a kritika által eddig kevésbé tárgyalt Gioberti-Curci-vita alaposabb elemző feltárásához.</w:t>
      </w:r>
      <w:r>
        <w:rPr>
          <w:color w:val="000000"/>
          <w:sz w:val="24"/>
          <w:szCs w:val="24"/>
        </w:rPr>
        <w:br/>
        <w:t xml:space="preserve">A Risorgimento után keletkezett szépirodalmi művekben elsősorban azok az egyházat ért kritikák jelennek meg, melyek már a korabeli traktátus-irodalom sarkalatos pontjait is képezték. Tehát a regényekben a szekularizációval kapcsolatban kiemelet elemek a korrajz szerves részét képezik, de nem válnak olyan számvetés-szerű tényezőkké, amelyek tényfeltáró erejüknél fogva az utókor poszt-risorgimentós traumáinak kollektív feldolgozását segíthetik.</w:t>
      </w:r>
      <w:r>
        <w:rPr>
          <w:color w:val="000000"/>
          <w:sz w:val="24"/>
          <w:szCs w:val="24"/>
        </w:rPr>
        <w:br/>
        <w:t xml:space="preserve">(EKÖP-24-2 Egyetemi Kutatói Ösztöndíj támogatással.)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53906">
    <w:multiLevelType w:val="hybridMultilevel"/>
    <w:lvl w:ilvl="0" w:tplc="99000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53906">
    <w:abstractNumId w:val="50653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47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