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FU ZHIQIN</w:t>
            </w:r>
          </w:p>
          <w:p w:rsidR="00C275A3" w:rsidRDefault="00CA6B74" w:rsidP="00C275A3">
            <w:pPr>
              <w:pStyle w:val="Hallgatokepzes"/>
            </w:pPr>
            <w:r w:rsidRPr="001067CD">
              <w:rPr>
                <w:i/>
              </w:rPr>
              <w:t>fuzhiqin639@gmail.com</w:t>
            </w:r>
            <w:r w:rsidRPr="001067CD">
              <w:rPr>
                <w:i/>
              </w:rPr>
              <w:br/>
            </w:r>
            <w:r w:rsidR="00A96AEC">
              <w:t>Filozófia</w:t>
            </w:r>
            <w:r w:rsidR="00A96AEC">
              <w:br/>
            </w:r>
            <w:r w:rsidR="00E77B23">
              <w:t>MA, 3.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Lamár Erzsébet</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on the Interdependence of Speech and Understanding: From Tao Te Ching to Literary Hermeneutics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Hermeneutika; Tao; Írás; Beszéd; Megértés</w:t>
      </w:r>
      <w:r>
        <w:t xml:space="preserve"/>
      </w:r>
    </w:p>
    <w:p>
      <w:pPr>
        <w:widowControl w:val="on"/>
        <w:pBdr/>
        <w:spacing w:before="240" w:after="240" w:line="240" w:lineRule="auto"/>
        <w:ind w:left="0" w:right="0"/>
        <w:jc w:val="left"/>
      </w:pPr>
      <w:r>
        <w:rPr>
          <w:color w:val="000000"/>
          <w:sz w:val="24"/>
          <w:szCs w:val="24"/>
        </w:rPr>
        <w:t xml:space="preserve">In the opening of the Gospel of John, Logos was often translated into Tao in Chinese. Whereas the validity of this translation remains disputed, it leads to the observation that speech and understanding are intimately bonded in both Logos and Tao. Hence in the footsteps of Gadamer, I first examined the role of language in understanding while also comparing it to its potential counterpart -- action. With the role of language clarified, I demonstrated the autonomy of writing, by reflecting on the non-phonetic nature of the Chinese language, to make explicit the immediacy of speech. This immediacy is then reassured, with reference to Iser's literary hermeneutics, by examining the reception of texts. The whole examination is done with frequent reference to Tao Te Ching so that this theory can be exemplified with Tao.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65432">
    <w:multiLevelType w:val="hybridMultilevel"/>
    <w:lvl w:ilvl="0" w:tplc="99220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65432">
    <w:abstractNumId w:val="50865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621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