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BOGNÁR NÓRA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bognarnora123@gmail.com</w:t>
            </w:r>
            <w:r w:rsidRPr="001067CD">
              <w:rPr>
                <w:i/>
              </w:rPr>
              <w:br/>
            </w:r>
            <w:r w:rsidR="00A96AEC">
              <w:t>Gyógytornász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Guzi Barbara</w:t>
            </w:r>
          </w:p>
          <w:p w:rsidR="00DB4822" w:rsidRDefault="00DB4822" w:rsidP="00BA6BAF">
            <w:pPr>
              <w:pStyle w:val="Konzulensektitulus"/>
            </w:pPr>
            <w:r w:rsidRPr="00DB4822">
              <w:t>mesteroktató, ME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Pull-Over: Fizioterápiás kezelések alkalmazása Pulley sérült sportmászóknál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sportmászás; kézfunkció; izomerő; fizioterápia; rehabilitáció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világon több, mint 45 millió sportmászó van, számuk a 2020-as Olimpia óta egyre nő. Körükben az extrém terhelés miatt a kéz- és ujjsérülések különösen gyakoriak, 30%-nál fellelhető a pulley szakadás jelei. Célkitűzésünk a pulley sérült sportolók állapotfelmérése, komplex fizioterápiás program alkalmazása és a kezelés hatásosságának vizsgálata.</w:t>
      </w:r>
      <w:r>
        <w:rPr>
          <w:color w:val="000000"/>
          <w:sz w:val="24"/>
          <w:szCs w:val="24"/>
        </w:rPr>
        <w:br/>
        <w:t xml:space="preserve">Anyag és módszer: 10 aktív mászót vizsgáltunk, legalább 5 napos sérüléssel. A felméréshez fájdalom érték (VAS), mobilitási-, izomerő- (0-5 skála, fingerboard, dinamométer), nyújthatósági, speciális teszteket alkalmaztunk. A fizioterápiás program passzív-(SMR, masszázs, Floss, stretching) és aktív (torna, PNF technika) elemből állt, 10 alkalommal 40 perces időtartamokban. Az eredményeket medián (Me) és interkvartilis tartomány (IQR) alapján mutatjuk be, változások meghatározására Mann-Withney U tesztet alkalmaztunk, szignifikancia szintet p≤0,05 esetén fogadtuk el.</w:t>
      </w:r>
      <w:r>
        <w:rPr>
          <w:color w:val="000000"/>
          <w:sz w:val="24"/>
          <w:szCs w:val="24"/>
        </w:rPr>
        <w:br/>
        <w:t xml:space="preserve">Eredmények: A vizsgált 10 főből 4 nő, átlagéletkoruk 29,3 ±10,91 év. A fő panasz, a fájdalom, hátráltatta a falmászást. Az érintett oldali kezdeti (T₁) mozgás közbeni VAS érték Me=4,3 (IQR=2,5), kezelések után (T₂) a fájdalom megszűnt. T₁ ép oldali csuklóízület extenzió eltért a fiziológiástól (Me=62,50°; [IQR=23,75], T₂ Me 69,00° (IQR=8,00) 22,49%-kal javult. T₁ érintett oldali csuklóízület extenzió Me=60,00° (IQR=11,00), DIP extenzió Me=-2,50° (IQR=8,00) volt, mely az ép oldalhoz képest elmaradt, T₂ csuklóízület extenzió Me=69,50° (IQR=13,25; p=0,016), szignifikáns javulást mutatott, DIP extenzió Me=-1,00° (IQR=5,00; p=0,351) is növekedett. Érintett oldali T₁ izomerő az ujj extenzorokon (EDC) 4,3±0,82, T₂: az EDC 16,3%-os növekedést mutattak. Az ujj flexorok félzárt fogással 15mm-es peremen Me=277,50N (IQR=105,50), amely 27,87%-kal (Me=352,50 [IQR=116,75]; p=0,007) javult, szignifikáns változás látható.</w:t>
      </w:r>
      <w:r>
        <w:rPr>
          <w:color w:val="000000"/>
          <w:sz w:val="24"/>
          <w:szCs w:val="24"/>
        </w:rPr>
        <w:br/>
        <w:t xml:space="preserve">Megbeszélés: A kezelések jelentősen javították a sportolók funkcionális állapotát és minden modalitás pozitív változást mutatott. Rehabilitációval fájdalommentességet, izomerő-növekedést és megfelelő mozgásmintát értünk el, lehetővé téve a visszatérést a mászáshoz. A megfelelően felépített rehabilitációs és prevenciós programok hozzájárulhatnak az újabb sérülések megelőzéséhez.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974546">
    <w:multiLevelType w:val="hybridMultilevel"/>
    <w:lvl w:ilvl="0" w:tplc="136638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974546">
    <w:abstractNumId w:val="849745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06334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