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PERCZEL JAKAB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terczeljakab@gmail.com</w:t>
            </w:r>
            <w:r w:rsidRPr="001067CD">
              <w:rPr>
                <w:i/>
              </w:rPr>
              <w:br/>
            </w:r>
            <w:r w:rsidR="00A96AEC">
              <w:t>matematika--ének-zene osztatlan tanárszak</w:t>
            </w:r>
            <w:r w:rsidR="00A96AEC">
              <w:br/>
            </w:r>
            <w:r w:rsidR="00E77B23">
              <w:t>Osztatlan,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Ivanyickaja Irina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Szergej Prokofjev: Négy zongoradarab op. 4.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Prokofjev; Négy zongoradarab; op. 4; Perczel Jakab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Prokofjev négyes opuszú négy zongoradarabját pályamunkámban négy szempont</w:t>
      </w:r>
      <w:r>
        <w:rPr>
          <w:color w:val="000000"/>
          <w:sz w:val="24"/>
          <w:szCs w:val="24"/>
        </w:rPr>
        <w:br/>
        <w:t xml:space="preserve">mentén fogom elemezni. Az első szempont a klasszikus illetve neoklasszikus hatás, mely a</w:t>
      </w:r>
      <w:r>
        <w:rPr>
          <w:color w:val="000000"/>
          <w:sz w:val="24"/>
          <w:szCs w:val="24"/>
        </w:rPr>
        <w:br/>
        <w:t xml:space="preserve">zeneszerző első zenei élményeire: a gyerekkorában anyja előadásában hallgatott</w:t>
      </w:r>
      <w:r>
        <w:rPr>
          <w:color w:val="000000"/>
          <w:sz w:val="24"/>
          <w:szCs w:val="24"/>
        </w:rPr>
        <w:br/>
        <w:t xml:space="preserve">Beethoven-szonátákra vezethető vissza. A második szempont Prokofjev egyéni harmóniai</w:t>
      </w:r>
      <w:r>
        <w:rPr>
          <w:color w:val="000000"/>
          <w:sz w:val="24"/>
          <w:szCs w:val="24"/>
        </w:rPr>
        <w:br/>
        <w:t xml:space="preserve">nyelve, a dallamosság, a hangszerelés és a drámai kifejezés tükrében. A harmadik szempont a</w:t>
      </w:r>
      <w:r>
        <w:rPr>
          <w:color w:val="000000"/>
          <w:sz w:val="24"/>
          <w:szCs w:val="24"/>
        </w:rPr>
        <w:br/>
        <w:t xml:space="preserve">motorikus, a negyedik pedig a lírai vonal.</w:t>
      </w:r>
      <w:r>
        <w:rPr>
          <w:color w:val="000000"/>
          <w:sz w:val="24"/>
          <w:szCs w:val="24"/>
        </w:rPr>
        <w:br/>
        <w:t xml:space="preserve">Az opuszt tételenként elemzem, s a felsorolt szempontok, illetve Prokofjev önéletrajzi</w:t>
      </w:r>
      <w:r>
        <w:rPr>
          <w:color w:val="000000"/>
          <w:sz w:val="24"/>
          <w:szCs w:val="24"/>
        </w:rPr>
        <w:br/>
        <w:t xml:space="preserve">írásainak segítségével elhelyezem a 20. századi zeneirodalom és Prokofjev munkásságának</w:t>
      </w:r>
      <w:r>
        <w:rPr>
          <w:color w:val="000000"/>
          <w:sz w:val="24"/>
          <w:szCs w:val="24"/>
        </w:rPr>
        <w:br/>
        <w:t xml:space="preserve">kontextusában.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81820">
    <w:multiLevelType w:val="hybridMultilevel"/>
    <w:lvl w:ilvl="0" w:tplc="20470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81820">
    <w:abstractNumId w:val="394818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722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