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noemi.kovacs209@gmail.com</w:t>
            </w:r>
            <w:r w:rsidRPr="001067CD">
              <w:rPr>
                <w:i/>
              </w:rPr>
              <w:br/>
            </w:r>
            <w:r w:rsidR="00A96AEC">
              <w:t>Irodalom- és kultúratudomány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Yaoi manga: a férfi homoerotika női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képregény; japán; boys love; fanfiction; ifjúsági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kérdése, hogy miért okozhat élvezetet fiatal nők számára, ha két férfi testi egyesülésének lesznek szemtanúi? Az általam vizsgált jaoi mangák ugyanis erre épülnek.</w:t>
      </w:r>
      <w:r>
        <w:rPr>
          <w:color w:val="000000"/>
          <w:sz w:val="24"/>
          <w:szCs w:val="24"/>
        </w:rPr>
        <w:br/>
        <w:t xml:space="preserve">A dolgozat ennek a japán képregény-műfajnak az alakulástörténetét vizsgálja, négy különböző változatán át eljutva ahhoz, amit ma jaoinak, vagy más néven Boys Love (BL) mangának nevezünk. A dolgozat továbbá a jaoi mangák azon főbb elemeit és jellemzőit járja körül, amit ez a műfaj az évtizedek során magába olvasztott, ezt követően pedig három különböző jaoi manga egy-egy részletének elemzésére vállalkozik és vizsgálja őket a felvázolt szempontok alapján. Az elemzés lényegi részét képezi a főszereplők dinamikájának, a „szeme-uke” (domináns-szubmisszív) felállásnak a vizsgálata, nagy hangsúlyt fektetve a férfikarakterek „nőies” és „férfias” vonásaira.</w:t>
      </w:r>
      <w:r>
        <w:rPr>
          <w:color w:val="000000"/>
          <w:sz w:val="24"/>
          <w:szCs w:val="24"/>
        </w:rPr>
        <w:br/>
        <w:t xml:space="preserve">A dolgozat végül igyekszik választ adni a fentebb feltett kérdésre különböző szakirodalmak alapján, valamint saját kutatás és vizsgálat által. A dolgozat határozottan állást foglal amellett is, hogy a „szeme” hagyományosan férfias, míg az „uke” hagyományosan nőies, hiába egyneműek.</w:t>
      </w:r>
      <w:r>
        <w:rPr>
          <w:color w:val="000000"/>
          <w:sz w:val="24"/>
          <w:szCs w:val="24"/>
        </w:rPr>
        <w:br/>
        <w:t xml:space="preserve">A dolgozat tulajdonképpen azt a hiányt próbálja pótolni, hogy ezeket a mangákat a hazai kutatásban nem vizsgálták tudományos szempontból, miközben a fiatal befogadók jelentős része aktív anime- és mangafogyasztó.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7385">
    <w:multiLevelType w:val="hybridMultilevel"/>
    <w:lvl w:ilvl="0" w:tplc="32950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7385">
    <w:abstractNumId w:val="71797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285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