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JANKA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tothjanka2000@gmail.com</w:t>
            </w:r>
            <w:r w:rsidRPr="001067CD">
              <w:rPr>
                <w:i/>
              </w:rPr>
              <w:br/>
            </w:r>
            <w:r w:rsidR="00A96AEC">
              <w:t>Kulturális mediáció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Kenéz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Tompa utcai pad mint társadalmi intervenció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demokrácia; nyilvánosság; public art; térelmélet; önkormányzat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2023 nyarán, a Tompa utcai pad egy olyan társadalmi szintű érték- és érdekkonfliktusra mutatott rá Ferencváros egyik frekventált utcájában, amely számos kérdést felvet, többek között társadalomtudományos szempontból is.</w:t>
      </w:r>
      <w:r>
        <w:rPr>
          <w:color w:val="000000"/>
          <w:sz w:val="24"/>
          <w:szCs w:val="24"/>
        </w:rPr>
        <w:br/>
        <w:t xml:space="preserve">Kutatásom célja, hogy megvizsgáljam a padot mint társadalmi intervenciós eszközt, illetve a kerületi döntéshozás, vagyis az önkormányzat szándékát, szerepét, jelen reflexióját a pad hatásai és utóélete kapcsán egyaránt.</w:t>
      </w:r>
      <w:r>
        <w:rPr>
          <w:color w:val="000000"/>
          <w:sz w:val="24"/>
          <w:szCs w:val="24"/>
        </w:rPr>
        <w:br/>
        <w:t xml:space="preserve">A kutatásban teoretikus keretet képeznek a térszociológiai, illetve köztér és nyilvánosság elméletek, Francis Fukuyama identitáspolitika elmélete, Chantal Mouffe agonisztikus politika és művészeti aktivizmus fogalma.</w:t>
      </w:r>
      <w:r>
        <w:rPr>
          <w:color w:val="000000"/>
          <w:sz w:val="24"/>
          <w:szCs w:val="24"/>
        </w:rPr>
        <w:br/>
        <w:t xml:space="preserve">A kutatás eredményeként megfogalmazottak rávilágítanak arra, hogy a pad esete nemcsak a közterek konfliktusos természetét mutatja meg, hanem azt is, hogy ezek az ellentétek hogyan értelmezhetők a demokratikus párbeszéd alapjaként. A kutatás hozzájárul a köztér használat és a társadalmi együttélés új megközelítéseihez.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553320">
    <w:multiLevelType w:val="hybridMultilevel"/>
    <w:lvl w:ilvl="0" w:tplc="237064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553320">
    <w:abstractNumId w:val="975533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32555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