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lukacseszter03@gmail.com</w:t>
            </w:r>
            <w:r w:rsidRPr="001067CD">
              <w:rPr>
                <w:i/>
              </w:rPr>
              <w:br/>
            </w:r>
            <w:r w:rsidR="00A96AEC">
              <w:t>Pénzügy és számvitel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Süveges Gábor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Musinszki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Elektromos autók? Kína vagy nem Kína? - Az elektromos autógyártó vállalatok vagyoni, pénzügyi és jövedelmezőségi helyzete 2022 és 2024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elektromos autógyártó vállalatok; vagyoni helyzet; pénzügyi helyzet; jövedelmezőségi helyzet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célja az volt, hogy elektromos autógyártó vállalatok vagyoni, pénzügyi és jövedelmezőségi helyzete között találjak hasonlóságot. A dolgozatom első részében néhány autóipari adatot vizsgáltam meg, valamint az elektromos autózással és a vizsgált vállalatokkal foglalkoztam, akik vagy kínaiak - BYD, XPeng, Li Auto NIO - vagy pedig nem kínaiak - Tesla, Rivian, Luicid Motors, Fisker, Polestar Canoo. A Kína, nem Kína reláció nemcsak itt, hanem már az elektromos autózással kapcsolatos fejezetben is látszódott a regisztrált elektromosautók számában.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Szekunder kutatásom során több kérdés is felmerült bennem, amelyek közül főként az érdekelt, hogy „Megfigyelhető-e valamilyen szabályszerűség a vagyoni, a pénzügyi és a jövedelmezőségi helyzet között a kínai és a nem kínai elektromos autógyártó vállalatok között?”. Ezt figyelembevéve alakítottam ki a hipotézisemet, amelynek az elemzése a számított mutatószámok és a kapcsolatszorosság vizsgálatához alkalmazott H mutatók – szóráshányadosok - segítségével valósult meg. A vizsgálat elvégzése rávilágított arra, hogy a megfogalmazott hipotézisem – A kínai és a nem kínai vállalatok vagyoni, pénzügyi és jövedelmezőségi helyzete egymástól eltérően alakul. - nem állja meg a helyét, ám a módosításával a következő hipotézist fogalmaztam meg:</w:t>
      </w:r>
    </w:p>
    <w:p>
      <w:pPr>
        <w:pStyle w:val="ListParagraphPHPDOCX"/>
        <w:numPr>
          <w:ilvl w:val="0"/>
          <w:numId w:val="9336211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2022 első és 2024 második negyedéve között a kínai és a nem kínai vállalatok vagyoni, pénzügyi és jövedelmezőségi helyzetének alakulása a vizsgált mutatószámok esetében az egyes negyedévekben nem különül el egymástól szignifikánsan, de érzékelhetőek néhány esetben különbözőségek. A vagyoni helyzet esetében közepes erősségű kapcsolat figyelhető meg, míg a pénzügyi és jövedelmezőségi helyzetnél a gyenge és a közepes erősségű kapcsolatok vegyesen dominálnak.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eredményeim alapján az állapítható meg, hogy a Kína, nem Kína reláció a vagyoni, pénzügyi és jövedelmezőségi helyzethez kapcsolódóan az eredeti vizsgálatom szerint nem állapítható meg biztosra, de több vizsgált mutató esetében is látszik a két csoport elválása, különbözősége. A kínai vállalatok mutatószámait tekintve láthatóak hasonlóságok, míg a nem kínai gyártók különböznek az esetek többségében.</w:t>
      </w:r>
      <w:r>
        <w:rPr>
          <w:color w:val="000000"/>
          <w:sz w:val="24"/>
          <w:szCs w:val="24"/>
        </w:rPr>
        <w:br/>
        <w:t xml:space="preserve">Az eredményeim alapján egy javaslat megfogalmazása sem maradhat el, ami a kutatás egyik legnehezebb része. A vizsgálatom során sokszor láttam azt, hogy a kínai vállalatoknál kisebb a volatilitás és megbízhatóbb a gazdálkodásuk. De vajon ez azt jelenti, hogy vállalatvezetést illetően is itt az ideje nagyobb figyelmet fordítani rájuk?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62119">
    <w:multiLevelType w:val="hybridMultilevel"/>
    <w:lvl w:ilvl="0" w:tplc="90123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62119">
    <w:abstractNumId w:val="933621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841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