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LUKÁCS</w:t>
            </w:r>
          </w:p>
          <w:p w:rsidR="00C275A3" w:rsidRDefault="00CA6B74" w:rsidP="00C275A3">
            <w:pPr>
              <w:pStyle w:val="Hallgatokepzes"/>
            </w:pPr>
            <w:r w:rsidRPr="001067CD">
              <w:rPr>
                <w:i/>
              </w:rPr>
              <w:t>lukacseszter03@gmail.com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Gábor Béla Süveges</w:t>
            </w:r>
          </w:p>
          <w:p w:rsidR="00DB4822" w:rsidRDefault="00DB4822" w:rsidP="00BA6BAF">
            <w:pPr>
              <w:pStyle w:val="Konzulensektitulus"/>
            </w:pPr>
            <w:r w:rsidRPr="00DB4822">
              <w:t>associate professor, ME GTK</w:t>
            </w:r>
          </w:p>
        </w:tc>
      </w:tr>
      <w:tr w:rsidR="00DB4822" w:rsidTr="00DB4822">
        <w:tc>
          <w:tcPr>
            <w:tcW w:w="9854" w:type="dxa"/>
          </w:tcPr>
          <w:p w:rsidR="00DB4822" w:rsidRPr="00DB4822" w:rsidRDefault="00DB4822" w:rsidP="00BA6BAF">
            <w:pPr>
              <w:pStyle w:val="Konzulenseknev"/>
            </w:pPr>
            <w:r w:rsidRPr="00DB4822">
              <w:t>Dr. Zoltán Musinszki</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Electric cars? China or not? – The wealth, financial and profitability situation of electric car companies between 2022 and 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electric car companies; wealth situation; financial situation; profitability situation; electric car industry</w:t>
      </w:r>
      <w:r>
        <w:t xml:space="preserve"/>
      </w:r>
    </w:p>
    <w:p>
      <w:pPr>
        <w:widowControl w:val="on"/>
        <w:pBdr/>
        <w:spacing w:before="240" w:after="240" w:line="240" w:lineRule="auto"/>
        <w:ind w:left="0" w:right="0"/>
        <w:jc w:val="left"/>
      </w:pPr>
      <w:r>
        <w:rPr>
          <w:color w:val="000000"/>
          <w:sz w:val="24"/>
          <w:szCs w:val="24"/>
        </w:rPr>
        <w:t xml:space="preserve">The main aim of my research was to find similarities between the wealth, financial and profitability situations of electric car companies. In the initial segment of this thesis, an examination was conducted of relevant automotive industry data, with a focus on electric vehicle manufacturers that are either Chinese, including BYD, XPeng, Li Auto, and NIO, or non-Chinese, such as Tesla, Rivian, Lucid Motors, Fisker, and Polestar. The China-non-China relation was not only evident in this context, but already in the chapter on electric cars in the number of registered electric cars.</w:t>
      </w:r>
      <w:r>
        <w:rPr>
          <w:color w:val="000000"/>
          <w:sz w:val="24"/>
          <w:szCs w:val="24"/>
        </w:rPr>
        <w:br/>
        <w:t xml:space="preserve">During my secondary research, several questions emerged, particularly concerning the regularity in the wealth, financial and profitability situation between Chinese and non-Chinese electric car companies. In light of these considerations, a hypothesis was formulated, and its analysis was conducted using calculated indicators and H-indicators (coefficients of variance), which were employed to assess the closeness of the relationship. The results of the analysis showed that my hypothesis - "The wealth, financial and profitability position of Chinese and non-Chinese companies differ" - does not hold, but I have modified it and formulated the following hypothesis:</w:t>
      </w:r>
    </w:p>
    <w:p>
      <w:pPr>
        <w:pStyle w:val="ListParagraphPHPDOCX"/>
        <w:numPr>
          <w:ilvl w:val="0"/>
          <w:numId w:val="25288418"/>
        </w:numPr>
        <w:spacing w:before="0" w:after="0" w:line="240" w:lineRule="auto"/>
        <w:contextualSpacing/>
        <w:jc w:val="left"/>
        <w:rPr>
          <w:sz w:val="24"/>
          <w:szCs w:val="24"/>
        </w:rPr>
      </w:pPr>
      <w:r>
        <w:rPr>
          <w:color w:val="000000"/>
          <w:sz w:val="24"/>
          <w:szCs w:val="24"/>
        </w:rPr>
        <w:t xml:space="preserve">Between the first quarter of 2022 and the second quarter of 2024, the evolution of the wealth, financial and profitability positions of Chinese and non-Chinese firms in regards of the indicators under investigation do not differ significantly between quarters, but differences are observed in some cases. In case of the wealth situation the relationship is considered medium strength, while in case of the financial and profitability situations, the relationship is dominated by a mixture of weak and medium strengths.</w:t>
      </w:r>
    </w:p>
    <w:p>
      <w:pPr>
        <w:widowControl w:val="on"/>
        <w:pBdr/>
        <w:spacing w:before="240" w:after="240" w:line="240" w:lineRule="auto"/>
        <w:ind w:left="0" w:right="0"/>
        <w:jc w:val="left"/>
      </w:pPr>
      <w:r>
        <w:rPr>
          <w:color w:val="000000"/>
          <w:sz w:val="24"/>
          <w:szCs w:val="24"/>
        </w:rPr>
        <w:t xml:space="preserve">The findings of this study indicate that the relationship between Chinese and non-Chinese entities in terms of wealth, financial and profitability status remains uncertain. However, the analysis reveals distinctions and variations between the two groups across several indicators. Chinese companies exhibit similarities in certain indicators, while non-Chinese ones demonstrate significant differences in most cases.</w:t>
      </w:r>
      <w:r>
        <w:rPr>
          <w:color w:val="000000"/>
          <w:sz w:val="24"/>
          <w:szCs w:val="24"/>
        </w:rPr>
        <w:br/>
        <w:t xml:space="preserve">In my research, I have often seen that Chinese companies have lower volatility and more reliable management. But does this mean that it is time to pay more attention to them in terms of corporate governance?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88418">
    <w:multiLevelType w:val="hybridMultilevel"/>
    <w:lvl w:ilvl="0" w:tplc="13657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88418">
    <w:abstractNumId w:val="25288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217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