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DAVID GERGO DR. MANDY</w:t>
            </w:r>
          </w:p>
          <w:p w:rsidR="00C275A3" w:rsidRDefault="00CA6B74" w:rsidP="00C275A3">
            <w:pPr>
              <w:pStyle w:val="Hallgatokepzes"/>
            </w:pPr>
            <w:r w:rsidRPr="001067CD">
              <w:rPr>
                <w:i/>
              </w:rPr>
              <w:t>david.gergo.mandy@student.uni-miskolc.hu</w:t>
            </w:r>
            <w:r w:rsidRPr="001067CD">
              <w:rPr>
                <w:i/>
              </w:rPr>
              <w:br/>
            </w:r>
            <w:r w:rsidR="00A96AEC">
              <w:t>Economy and business administration</w:t>
            </w:r>
            <w:r w:rsidR="00A96AEC">
              <w:br/>
            </w:r>
            <w:r w:rsidR="00E77B23">
              <w:t>BSc, 1. semester</w:t>
            </w:r>
          </w:p>
          <w:p w:rsidR="00C265CE" w:rsidRPr="009E5FF1" w:rsidRDefault="00E77B23" w:rsidP="00BA6BAF">
            <w:pPr>
              <w:pStyle w:val="Hallgatointezmeny-kar"/>
              <w:rPr>
                <w:b/>
                <w:caps/>
              </w:rPr>
            </w:pPr>
            <w:r>
              <w:t>University of Miskolc</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Csilla Margit Dr. Csiszar</w:t>
            </w:r>
          </w:p>
          <w:p w:rsidR="00DB4822" w:rsidRDefault="00DB4822" w:rsidP="00BA6BAF">
            <w:pPr>
              <w:pStyle w:val="Konzulensektitulus"/>
            </w:pPr>
            <w:r w:rsidRPr="00DB4822">
              <w:t>associate professor,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Data assets, data management, but why use AI anyway?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data assets; AI; data asset management; data efficient company; data traffic</w:t>
      </w:r>
      <w:r>
        <w:t xml:space="preserve"/>
      </w:r>
    </w:p>
    <w:p>
      <w:pPr>
        <w:widowControl w:val="on"/>
        <w:pBdr/>
        <w:spacing w:before="240" w:after="240" w:line="240" w:lineRule="auto"/>
        <w:ind w:left="0" w:right="0"/>
        <w:jc w:val="left"/>
      </w:pPr>
      <w:r>
        <w:rPr>
          <w:color w:val="000000"/>
          <w:sz w:val="24"/>
          <w:szCs w:val="24"/>
        </w:rPr>
        <w:t xml:space="preserve">Currently, the concept of Industry 5.0, envisioned by the European Commission in 2021, is gaining increasing attention. This paradigm shift fundamentally alters our perceptions of current economic models. The main premise is that the ongoing technological revolution—commonly referred to as Industry 4.0—plays a crucial role in developing a human-centric, resilient, and sustainable industry. This industry deeply integrates social and environmental values to a far greater extent than before.</w:t>
      </w:r>
    </w:p>
    <w:p>
      <w:pPr>
        <w:widowControl w:val="on"/>
        <w:pBdr/>
        <w:spacing w:before="240" w:after="240" w:line="240" w:lineRule="auto"/>
        <w:ind w:left="0" w:right="0"/>
        <w:jc w:val="left"/>
      </w:pPr>
      <w:r>
        <w:rPr>
          <w:color w:val="000000"/>
          <w:sz w:val="24"/>
          <w:szCs w:val="24"/>
        </w:rPr>
        <w:t xml:space="preserve">However, this transformation necessitates a systemic approach where general, overarching models replace individual technological solutions. A crucial requirement for these models is a mechanism that addresses data storage, analysis, protection of data assets, data transmission, and management in a manner compatible with multiple schemas. Such a network must enable intelligent software to make decisions by uncovering causal relationships in complex, dynamically changing structures, or performing real-time analyses. These analyses could, for instance, allow precise identification of weak points in the supply chain during the planning phase of production or predict market reactions to manufactured products.</w:t>
      </w:r>
    </w:p>
    <w:p>
      <w:pPr>
        <w:widowControl w:val="on"/>
        <w:pBdr/>
        <w:spacing w:before="240" w:after="240" w:line="240" w:lineRule="auto"/>
        <w:ind w:left="0" w:right="0"/>
        <w:jc w:val="left"/>
      </w:pPr>
      <w:r>
        <w:rPr>
          <w:color w:val="000000"/>
          <w:sz w:val="24"/>
          <w:szCs w:val="24"/>
        </w:rPr>
        <w:t xml:space="preserve">In my thesis, I aim to analyze the data management strategy required to extract clean and accurate data from such a system. Furthermore, I explore how to ensure the protection of data assets essential for corporate profitability and how to shorten the company’s decision-making response time even within a complex system by overcoming specific obstacles. For this purpose, I have developed a network analysis and an AI system development structure.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542778">
    <w:multiLevelType w:val="hybridMultilevel"/>
    <w:lvl w:ilvl="0" w:tplc="754231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542778">
    <w:abstractNumId w:val="1154277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77429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