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HORVÁTH</w:t>
            </w:r>
          </w:p>
          <w:p w:rsidR="00C275A3" w:rsidRDefault="00CA6B74" w:rsidP="00C275A3">
            <w:pPr>
              <w:pStyle w:val="Hallgatokepzes"/>
            </w:pPr>
            <w:r w:rsidRPr="001067CD">
              <w:rPr>
                <w:i/>
              </w:rPr>
              <w:t>horvath.kata06@gmail.com</w:t>
            </w:r>
            <w:r w:rsidRPr="001067CD">
              <w:rPr>
                <w:i/>
              </w:rPr>
              <w:br/>
            </w:r>
            <w:r w:rsidR="00A96AEC">
              <w:t>Marketing</w:t>
            </w:r>
            <w:r w:rsidR="00A96AEC">
              <w:br/>
            </w:r>
            <w:r w:rsidR="00E77B23">
              <w:t>MSc, 3.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Laszló Molnár (Phd.)</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Comprehensive study of artificial intelligence adaptation in higher education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technology acceptance; metaanalysis; UTAUT; higher education</w:t>
      </w:r>
      <w:r>
        <w:t xml:space="preserve"/>
      </w:r>
    </w:p>
    <w:p>
      <w:pPr>
        <w:widowControl w:val="on"/>
        <w:pBdr/>
        <w:spacing w:before="240" w:after="240" w:line="240" w:lineRule="auto"/>
        <w:ind w:left="0" w:right="0"/>
        <w:jc w:val="left"/>
      </w:pPr>
      <w:r>
        <w:rPr>
          <w:color w:val="000000"/>
          <w:sz w:val="24"/>
          <w:szCs w:val="24"/>
        </w:rPr>
        <w:t xml:space="preserve">The significance of the adoption and integration of artificial intelligence (AI) in higher education is increasingly recognized, as supported by the findings of comprehensive investigations conducted during this research. This study is built on three principal pillars: a systematic literature review conducted in line with the PRISMA protocol, an empirical study supplemented by hypothesis testing, and the development and validation of the UNI.AI strategic framework.</w:t>
      </w:r>
    </w:p>
    <w:p>
      <w:pPr>
        <w:widowControl w:val="on"/>
        <w:pBdr/>
        <w:spacing w:before="240" w:after="240" w:line="240" w:lineRule="auto"/>
        <w:ind w:left="0" w:right="0"/>
        <w:jc w:val="left"/>
      </w:pPr>
      <w:r>
        <w:rPr>
          <w:color w:val="000000"/>
          <w:sz w:val="24"/>
          <w:szCs w:val="24"/>
        </w:rPr>
        <w:t xml:space="preserve">The literature review examined 44 studies, revealing that research on AI adoption by consumers has predominantly focused on domains such as e-commerce, financial services, and general technological adaptation, while notable gaps remain in the context of education. The UTAUT model emerges as a key theoretical framework for examining AI adoption.</w:t>
      </w:r>
    </w:p>
    <w:p>
      <w:pPr>
        <w:widowControl w:val="on"/>
        <w:pBdr/>
        <w:spacing w:before="240" w:after="240" w:line="240" w:lineRule="auto"/>
        <w:ind w:left="0" w:right="0"/>
        <w:jc w:val="left"/>
      </w:pPr>
      <w:r>
        <w:rPr>
          <w:color w:val="000000"/>
          <w:sz w:val="24"/>
          <w:szCs w:val="24"/>
        </w:rPr>
        <w:t xml:space="preserve">The empirical study analysed responses using CB-SEM from 438 university students to investigate six hypotheses. The findings indicate that performance expectancy, effort expectancy, and social influence significantly impact students' intention to use AI, which, in turn, is a clear predictor of actual use. However, the influence of facilitating conditions on both usage intention and actual usage was found to be negligible.</w:t>
      </w:r>
    </w:p>
    <w:p>
      <w:pPr>
        <w:widowControl w:val="on"/>
        <w:pBdr/>
        <w:spacing w:before="240" w:after="240" w:line="240" w:lineRule="auto"/>
        <w:ind w:left="0" w:right="0"/>
        <w:jc w:val="left"/>
      </w:pPr>
      <w:r>
        <w:rPr>
          <w:color w:val="000000"/>
          <w:sz w:val="24"/>
          <w:szCs w:val="24"/>
        </w:rPr>
        <w:t xml:space="preserve">A major contribution of this study is the development of the UNI.AI strategic framework, which provides guidance for higher education institutions across six key dimensions: education, technological development, research, fostering adaptation, ethical AI use, and performance evaluation. Validation of the strategy through in-depth interviews highlighted its relevance: both university educators and HR professionals emphasized the necessity of AI integration to enhance educational quality and improve students' competitiveness in the labour market.</w:t>
      </w:r>
    </w:p>
    <w:p>
      <w:pPr>
        <w:widowControl w:val="on"/>
        <w:pBdr/>
        <w:spacing w:before="240" w:after="240" w:line="240" w:lineRule="auto"/>
        <w:ind w:left="0" w:right="0"/>
        <w:jc w:val="left"/>
      </w:pPr>
      <w:r>
        <w:rPr>
          <w:color w:val="000000"/>
          <w:sz w:val="24"/>
          <w:szCs w:val="24"/>
        </w:rPr>
        <w:t xml:space="preserve">The UNI.AI framework offers robust support for the successful realization of AI-driven transformations in higher education and the labour market, ensuring that institutions are well-equipped to navigate and leverage the opportunities presented by AI advancements.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25535">
    <w:multiLevelType w:val="hybridMultilevel"/>
    <w:lvl w:ilvl="0" w:tplc="60703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25535">
    <w:abstractNumId w:val="57125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8932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