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HORVÁTH</w:t>
            </w:r>
          </w:p>
          <w:p w:rsidR="00C275A3" w:rsidRDefault="00CA6B74" w:rsidP="00C275A3">
            <w:pPr>
              <w:pStyle w:val="Hallgatokepzes"/>
            </w:pPr>
            <w:r w:rsidRPr="001067CD">
              <w:rPr>
                <w:i/>
              </w:rPr>
              <w:t>horvath.kata06@gmail.com</w:t>
            </w:r>
            <w:r w:rsidRPr="001067CD">
              <w:rPr>
                <w:i/>
              </w:rPr>
              <w:br/>
            </w:r>
            <w:r w:rsidR="00A96AEC">
              <w:t>Marketing</w:t>
            </w:r>
            <w:r w:rsidR="00A96AEC">
              <w:br/>
            </w:r>
            <w:r w:rsidR="00E77B23">
              <w:t>MSc, 3.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Laszló Molnár (Phd.)</w:t>
            </w:r>
          </w:p>
          <w:p w:rsidR="00DB4822" w:rsidRDefault="00DB4822" w:rsidP="00BA6BAF">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attitudes and consumer segments towards artificial intelligence in Hungary: empirical testing of the applicability of the General Attitdues Towards AI Scale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attitude; segmentation; GAAIS</w:t>
      </w:r>
      <w:r>
        <w:t xml:space="preserve"/>
      </w:r>
    </w:p>
    <w:p>
      <w:pPr>
        <w:widowControl w:val="on"/>
        <w:pBdr/>
        <w:spacing w:before="240" w:after="240" w:line="240" w:lineRule="auto"/>
        <w:ind w:left="0" w:right="0"/>
        <w:jc w:val="left"/>
      </w:pPr>
      <w:r>
        <w:rPr>
          <w:color w:val="000000"/>
          <w:sz w:val="24"/>
          <w:szCs w:val="24"/>
        </w:rPr>
        <w:t xml:space="preserve">The proliferation of artificial intelligence (AI) technologies introduces new opportunities and challenges within society, particularly in the domain of consumer habits and attitudes. The research aimed to empirically test the applicability of the General Attitudes Towards AI Scale (GAAIS) among the Hungarian population. Additionally, a key research perspective involved segmenting consumers based on their attitudes and providing detailed profiles of the identified groups.</w:t>
      </w:r>
    </w:p>
    <w:p>
      <w:pPr>
        <w:widowControl w:val="on"/>
        <w:pBdr/>
        <w:spacing w:before="240" w:after="240" w:line="240" w:lineRule="auto"/>
        <w:ind w:left="0" w:right="0"/>
        <w:jc w:val="left"/>
      </w:pPr>
      <w:r>
        <w:rPr>
          <w:color w:val="000000"/>
          <w:sz w:val="24"/>
          <w:szCs w:val="24"/>
        </w:rPr>
        <w:t xml:space="preserve">The results revealed three distinct attitude-based segments. The Positive Segment primarily comprises younger individuals with higher educational attainment and advanced technological competence. Their value system is dominated by the dimensions of Self-Transcendence and Openness to Change, reflecting altruism and a readiness to embrace innovation. Their personality traits, such as Openness, Extraversion, and Conscientiousness, facilitate greater acceptance of the benefits of AI.</w:t>
      </w:r>
    </w:p>
    <w:p>
      <w:pPr>
        <w:widowControl w:val="on"/>
        <w:pBdr/>
        <w:spacing w:before="240" w:after="240" w:line="240" w:lineRule="auto"/>
        <w:ind w:left="0" w:right="0"/>
        <w:jc w:val="left"/>
      </w:pPr>
      <w:r>
        <w:rPr>
          <w:color w:val="000000"/>
          <w:sz w:val="24"/>
          <w:szCs w:val="24"/>
        </w:rPr>
        <w:t xml:space="preserve">The Ambivalent Segment exhibits a balanced value system. Members score above average in the Conservation dimensions, while demonstrating moderate openness to new technologies. This group typically includes middle-aged individuals with secondary education and intermediate technological knowledge. Their interest in the economic and societal advantages of AI is tempered by concerns about data security and ethical issues.</w:t>
      </w:r>
    </w:p>
    <w:p>
      <w:pPr>
        <w:widowControl w:val="on"/>
        <w:pBdr/>
        <w:spacing w:before="240" w:after="240" w:line="240" w:lineRule="auto"/>
        <w:ind w:left="0" w:right="0"/>
        <w:jc w:val="left"/>
      </w:pPr>
      <w:r>
        <w:rPr>
          <w:color w:val="000000"/>
          <w:sz w:val="24"/>
          <w:szCs w:val="24"/>
        </w:rPr>
        <w:t xml:space="preserve">The Negative Segment consists of older individuals with lower educational attainment and basic technological skills. Central to their attitudes are fears related to autonomy, data security, and loss of control. Their value system is characterised by Self-Enhancement and Conservation, while their personality traits include Emotional Instability and low Openness, contributing to scepticism towards AI.</w:t>
      </w:r>
    </w:p>
    <w:p>
      <w:pPr>
        <w:widowControl w:val="on"/>
        <w:pBdr/>
        <w:spacing w:before="240" w:after="240" w:line="240" w:lineRule="auto"/>
        <w:ind w:left="0" w:right="0"/>
        <w:jc w:val="left"/>
      </w:pPr>
      <w:r>
        <w:rPr>
          <w:color w:val="000000"/>
          <w:sz w:val="24"/>
          <w:szCs w:val="24"/>
        </w:rPr>
        <w:t xml:space="preserve">The research highlighted clear differences between the segments based on demographic factors, value systems, and personality traits. The findings provide a foundation for further analyses and targeted strategies, contributing to the academic discourse on AI attitudes and offering valuable insights for addressing the societal implications of AI adoption.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10248">
    <w:multiLevelType w:val="hybridMultilevel"/>
    <w:lvl w:ilvl="0" w:tplc="42167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10248">
    <w:abstractNumId w:val="228102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44561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