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SEBŐK LILIÁNA HAJNALKA</w:t>
            </w:r>
          </w:p>
          <w:p w:rsidR="00C275A3" w:rsidRDefault="00CA6B74" w:rsidP="00C275A3">
            <w:pPr>
              <w:pStyle w:val="Hallgatokepzes"/>
            </w:pPr>
            <w:r w:rsidRPr="001067CD">
              <w:rPr>
                <w:i/>
              </w:rPr>
              <w:t>sebok.liliana.hajnalka@hallgato.szfe.hu</w:t>
            </w:r>
            <w:r w:rsidRPr="001067CD">
              <w:rPr>
                <w:i/>
              </w:rPr>
              <w:br/>
            </w:r>
            <w:r w:rsidR="00A96AEC">
              <w:t>dramaturg</w:t>
            </w:r>
            <w:r w:rsidR="00A96AEC">
              <w:br/>
            </w:r>
            <w:r w:rsidR="00E77B23">
              <w:t>Osztatlan, 3. félév</w:t>
            </w:r>
          </w:p>
          <w:p w:rsidR="00C265CE" w:rsidRPr="009E5FF1" w:rsidRDefault="00E77B23" w:rsidP="00BA6BAF">
            <w:pPr>
              <w:pStyle w:val="Hallgatointezmeny-kar"/>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Lázár Balázs</w:t>
            </w:r>
          </w:p>
          <w:p w:rsidR="00DB4822" w:rsidRDefault="00DB4822" w:rsidP="00BA6BAF">
            <w:pPr>
              <w:pStyle w:val="Konzulensektitulus"/>
            </w:pPr>
            <w:r w:rsidRPr="00DB4822">
              <w:t>egyetemi adjunktus,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Életünk hazugságai a színpadon – Az ibseni élethazugságok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élethazugság; önáltatás; analitikus dráma; Ibsen; leleplezés</w:t>
      </w:r>
      <w:r>
        <w:t xml:space="preserve"/>
      </w:r>
    </w:p>
    <w:p>
      <w:pPr>
        <w:widowControl w:val="on"/>
        <w:pBdr/>
        <w:spacing w:before="240" w:after="240" w:line="240" w:lineRule="auto"/>
        <w:ind w:left="0" w:right="0"/>
        <w:jc w:val="left"/>
      </w:pPr>
      <w:r>
        <w:rPr>
          <w:color w:val="000000"/>
          <w:sz w:val="24"/>
          <w:szCs w:val="24"/>
        </w:rPr>
        <w:t xml:space="preserve">Dolgozatomban Henrik Ibsen drámaírói munkásságával foglalkozom, műveit az élethazugság motívumán keresztül vizsgálom.  Véleményem szerint ez a probléma mindennél aktuálisabb a mai ember számára, így a színháznak feladata ezzel foglalkozni. </w:t>
      </w:r>
    </w:p>
    <w:p>
      <w:pPr>
        <w:widowControl w:val="on"/>
        <w:pBdr/>
        <w:spacing w:before="240" w:after="240" w:line="240" w:lineRule="auto"/>
        <w:ind w:left="0" w:right="0"/>
        <w:jc w:val="left"/>
      </w:pPr>
      <w:r>
        <w:rPr>
          <w:color w:val="000000"/>
          <w:sz w:val="24"/>
          <w:szCs w:val="24"/>
        </w:rPr>
        <w:t xml:space="preserve">A tanulmány elején az élethazugság fogalmát járom körül, rögzítem a felmerülő kérdéseket, és bemutatom a lehetséges eseteket, ezután térek rá az egyes művek vizsgálatára. Mivel nem elérhető olyan monografikus szintű szakirodalom, amely kifejezetten az élethazugság kérdéskörén belül vizsgálja az ibseni életművet, így dolgozatomnak részben hiánypótlás is a célja. Terjedelmi okok miatt tíz drámai művet választottam ki a szerző munkásságából, ezeket az élethazugság motívumán keresztül vizsgálom, felvázolom a megjelenő élethazugságokat, ismétlődéseket, variációkat, mintákat keresek. A tanulmány összegzésében pedig rámutatok arra, milyen szorosan kapcsolódnak egymáshoz az egyes művek, egyfajta rendszert alakítok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77831">
    <w:multiLevelType w:val="hybridMultilevel"/>
    <w:lvl w:ilvl="0" w:tplc="83471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77831">
    <w:abstractNumId w:val="98877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596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