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kissreka.213@gmail.com</w:t>
            </w:r>
            <w:r w:rsidRPr="001067CD">
              <w:rPr>
                <w:i/>
              </w:rPr>
              <w:br/>
            </w:r>
            <w:r w:rsidR="00A96AEC">
              <w:t>Amerikanisztika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Titkos Út Kínába: Eltérések Henry Kissinger Visszaemlékezéseiben a Közeledésről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Henry Kissinger; rapprochement; United States; China; memory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Enabled by the online devices of the modern age, the Internet, and social media platforms, the</w:t>
      </w:r>
      <w:r>
        <w:rPr>
          <w:color w:val="000000"/>
          <w:sz w:val="24"/>
          <w:szCs w:val="24"/>
        </w:rPr>
        <w:br/>
        <w:t xml:space="preserve">spread of misinformation and lies about historical and political events becomes inevitable,</w:t>
      </w:r>
      <w:r>
        <w:rPr>
          <w:color w:val="000000"/>
          <w:sz w:val="24"/>
          <w:szCs w:val="24"/>
        </w:rPr>
        <w:br/>
        <w:t xml:space="preserve">prompting scholars to turn away from contemporary sources and investigate ones that ought</w:t>
      </w:r>
      <w:r>
        <w:rPr>
          <w:color w:val="000000"/>
          <w:sz w:val="24"/>
          <w:szCs w:val="24"/>
        </w:rPr>
        <w:br/>
        <w:t xml:space="preserve">to be credible, written by the very witnesses of these affairs. However, these documents do</w:t>
      </w:r>
      <w:r>
        <w:rPr>
          <w:color w:val="000000"/>
          <w:sz w:val="24"/>
          <w:szCs w:val="24"/>
        </w:rPr>
        <w:br/>
        <w:t xml:space="preserve">not enjoy immunity to inconsistency either, as illustrated by the analysis of Henry Kissinger's</w:t>
      </w:r>
      <w:r>
        <w:rPr>
          <w:color w:val="000000"/>
          <w:sz w:val="24"/>
          <w:szCs w:val="24"/>
        </w:rPr>
        <w:br/>
        <w:t xml:space="preserve">development of a narrative regarding the United States' 1971 rapprochement with China. This</w:t>
      </w:r>
      <w:r>
        <w:rPr>
          <w:color w:val="000000"/>
          <w:sz w:val="24"/>
          <w:szCs w:val="24"/>
        </w:rPr>
        <w:br/>
        <w:t xml:space="preserve">study examines the evolution of Kissinger's recollection of this momentous diplomatic</w:t>
      </w:r>
      <w:r>
        <w:rPr>
          <w:color w:val="000000"/>
          <w:sz w:val="24"/>
          <w:szCs w:val="24"/>
        </w:rPr>
        <w:br/>
        <w:t xml:space="preserve">mission, which transformed Cold War foreign policy and laid the foundation for future</w:t>
      </w:r>
      <w:r>
        <w:rPr>
          <w:color w:val="000000"/>
          <w:sz w:val="24"/>
          <w:szCs w:val="24"/>
        </w:rPr>
        <w:br/>
        <w:t xml:space="preserve">cooperation between the countries. Comparing a variety of Kissinger's work, including</w:t>
      </w:r>
      <w:r>
        <w:rPr>
          <w:color w:val="000000"/>
          <w:sz w:val="24"/>
          <w:szCs w:val="24"/>
        </w:rPr>
        <w:br/>
        <w:t xml:space="preserve">personal reports to President Nixon, a memoir, and additional publications spanning over four</w:t>
      </w:r>
      <w:r>
        <w:rPr>
          <w:color w:val="000000"/>
          <w:sz w:val="24"/>
          <w:szCs w:val="24"/>
        </w:rPr>
        <w:br/>
        <w:t xml:space="preserve">decades, reveals discrepancies that allow for identifying potential motives for distorting</w:t>
      </w:r>
      <w:r>
        <w:rPr>
          <w:color w:val="000000"/>
          <w:sz w:val="24"/>
          <w:szCs w:val="24"/>
        </w:rPr>
        <w:br/>
        <w:t xml:space="preserve">history. The evolution of writing history in Kissinger's case manifests itself in alteration in</w:t>
      </w:r>
      <w:r>
        <w:rPr>
          <w:color w:val="000000"/>
          <w:sz w:val="24"/>
          <w:szCs w:val="24"/>
        </w:rPr>
        <w:br/>
        <w:t xml:space="preserve">self-portrayal and shifts in the omission and inclusion of historical details. This research</w:t>
      </w:r>
      <w:r>
        <w:rPr>
          <w:color w:val="000000"/>
          <w:sz w:val="24"/>
          <w:szCs w:val="24"/>
        </w:rPr>
        <w:br/>
        <w:t xml:space="preserve">demonstrates the dynamic nature of storytelling for a political figure who recollects his</w:t>
      </w:r>
      <w:r>
        <w:rPr>
          <w:color w:val="000000"/>
          <w:sz w:val="24"/>
          <w:szCs w:val="24"/>
        </w:rPr>
        <w:br/>
        <w:t xml:space="preserve">experiences in the form of historical accounts, depending on his aim and the socio-political</w:t>
      </w:r>
      <w:r>
        <w:rPr>
          <w:color w:val="000000"/>
          <w:sz w:val="24"/>
          <w:szCs w:val="24"/>
        </w:rPr>
        <w:br/>
        <w:t xml:space="preserve">context of the given period, providing insight through the examination of a foreign policy</w:t>
      </w:r>
      <w:r>
        <w:rPr>
          <w:color w:val="000000"/>
          <w:sz w:val="24"/>
          <w:szCs w:val="24"/>
        </w:rPr>
        <w:br/>
        <w:t xml:space="preserve">event that carries substantial contemporary relevance in the foreign policy of the United</w:t>
      </w:r>
      <w:r>
        <w:rPr>
          <w:color w:val="000000"/>
          <w:sz w:val="24"/>
          <w:szCs w:val="24"/>
        </w:rPr>
        <w:br/>
        <w:t xml:space="preserve">States.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8253">
    <w:multiLevelType w:val="hybridMultilevel"/>
    <w:lvl w:ilvl="0" w:tplc="69162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8253">
    <w:abstractNumId w:val="36238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572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