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PÉTERFI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peterfiorsolya@yahoo.com</w:t>
            </w:r>
            <w:r w:rsidRPr="001067CD">
              <w:rPr>
                <w:i/>
              </w:rPr>
              <w:br/>
            </w:r>
            <w:r w:rsidR="00A96AEC">
              <w:t>Rövid ciklusú tanári mesterképzés (kémiatanár)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Géra Eleonóra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szentháromsági Péterfi család története a 18-19. század fordulóján. Konfliktusok és közösségi szerepvállalás egy unitárius székely közösségben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Marosszék; székely; unitárius; családtörténet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történetírása rámutatott arra, hogy a múlt eseményeinek megértéséhez elengedhetetlen a helyi közösségek és családok történetének, mindennapjainak vizsgálata. A dolgozatom célja egy nyárádmenti székely család 18–19. századi történetén keresztül bemutatni egy unitárius székely közösség életét. A kutatásom középpontjában a család közösségi szerepvállalása, gazdasági helyzete, és a településen zajló konfliktusok állnak. Az anyakönyvi források mellett összeírások, peres iratok és egyházi dokumentumok segítségével állítottam össze a szentháromsági Péterfi család történetét a vizsgált időszakban. A forrásfeltáró munkámat elsősorban romániai levéltárakban végeztem, azonban a Magyar Nemzeti Levéltár Országos Levéltárában is folytattam kutatást. A felhasznált források jelentős része a Román Nemzeti Levéltár Maros Megyei Hivatalánál és a Magyar Unitárius Egyház Gyűjtőlevéltáraiban található.</w:t>
      </w:r>
      <w:r>
        <w:rPr>
          <w:color w:val="000000"/>
          <w:sz w:val="24"/>
          <w:szCs w:val="24"/>
        </w:rPr>
        <w:br/>
        <w:t xml:space="preserve">A „csendes ellenreformáció” során Szentháromság vallási összetűzések helyszínévé vált, amikor a katolikus közösség 1752-ben visszaszerezte a régi kőtemplomot az unitáriusoktól. Az egyházközség mégis megőrizte önállóságát, amihez nélkülözhetetlen volt a helyi közösség összefogása, a patrónusok támogatása és az egyházi vezetők útmutatása. A templomfoglalás hatásai azonban hosszú időre meghatározták a szentháromsági unitáriusok életét. A Péterfi család tagjai generációkon keresztül tartó közösségi és egyházi tevékenységük révén fontos szereplői voltak a helyi közösség életének. A 18–19. század fordulóján zajló események jól szemléltetik, hogy miként kapcsolódott össze a magánélet és a közélet, a vallási elköteleződés és a világi konfliktusok.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92289">
    <w:multiLevelType w:val="hybridMultilevel"/>
    <w:lvl w:ilvl="0" w:tplc="26160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92289">
    <w:abstractNumId w:val="57292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905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