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HÉVÍZGYÖRKI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hevizgyorkimate@gmail.com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Hegyi W.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"Kegyetlensége miatt megsemmisült a hitel igen erős köteléke". Az adósrabszolgaság eltörlésének liviusi interpretációja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nexum; történetírói névhasználat; flos aetatis; férfi pudicitia; exemplum-lánc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római történetírás gyakran drámaian elbeszélt fiktív történetekre vezetett vissza jelentős politikai változásokat. Ez a </w:t>
      </w:r>
      <w:r>
        <w:rPr>
          <w:i/>
          <w:color w:val="000000"/>
          <w:sz w:val="24"/>
          <w:szCs w:val="24"/>
        </w:rPr>
        <w:t xml:space="preserve">nexum</w:t>
      </w:r>
      <w:r>
        <w:rPr>
          <w:color w:val="000000"/>
          <w:sz w:val="24"/>
          <w:szCs w:val="24"/>
        </w:rPr>
        <w:t xml:space="preserve"> (adósrabszolgaság) eltörlését bemutató jelenetben sincs másként, amelynek elbeszélése Liviusnál, halikarnassosi Dionysiosnál és Valerius Maximusnál maradt fenn részletesen.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dolgozat a liviusi változat vizsgálatát tűzte ki céljául. Liviusnak, a „próza költőjének” munkáját igen sokféleként lehet értelmezni, amit az irodalmak mind módszertani, történelemfilozófiai és stílustani szempontból meg is tesznek. Ezen munkák közül néhányat szükséges bemutatni annak érdekében, hogy a dolgozat későbbi érvei és gondolatmenetei igazolást nyerhessenek; valamint – ugyanebből az okból – érdemes kitérni a </w:t>
      </w:r>
      <w:r>
        <w:rPr>
          <w:i/>
          <w:color w:val="000000"/>
          <w:sz w:val="24"/>
          <w:szCs w:val="24"/>
        </w:rPr>
        <w:t xml:space="preserve">nexum</w:t>
      </w:r>
      <w:r>
        <w:rPr>
          <w:color w:val="000000"/>
          <w:sz w:val="24"/>
          <w:szCs w:val="24"/>
        </w:rPr>
        <w:t xml:space="preserve">ról és a </w:t>
      </w:r>
      <w:r>
        <w:rPr>
          <w:i/>
          <w:color w:val="000000"/>
          <w:sz w:val="24"/>
          <w:szCs w:val="24"/>
        </w:rPr>
        <w:t xml:space="preserve">lex Poeteliá</w:t>
      </w:r>
      <w:r>
        <w:rPr>
          <w:color w:val="000000"/>
          <w:sz w:val="24"/>
          <w:szCs w:val="24"/>
        </w:rPr>
        <w:t xml:space="preserve">ról kialakult újabb, tudományos nézetek bemutatására is. A vizsgálódás egyik iránya a liviusnál feltűnő nevek elemzése és történeti kontextusba illesztése: a történetben feltűnő hitelező L. Papirius (L. Papirius Cursor), az adós pedig C. Publilius (Q. Publilius Philo); nevük megfeleltethető a kor két nagy politikusának. Ez különösen úgy nyer igazolást, ha a </w:t>
      </w:r>
      <w:r>
        <w:rPr>
          <w:i/>
          <w:color w:val="000000"/>
          <w:sz w:val="24"/>
          <w:szCs w:val="24"/>
        </w:rPr>
        <w:t xml:space="preserve">nexum </w:t>
      </w:r>
      <w:r>
        <w:rPr>
          <w:color w:val="000000"/>
          <w:sz w:val="24"/>
          <w:szCs w:val="24"/>
        </w:rPr>
        <w:t xml:space="preserve">eltörlésének történetét egy másik jelenettel (a Fabius-Papirius jelenettel) együtt elemezzük. A vizsgálódás másik iránya Publilius alakjára vonatkozik. Róma korai történetének szinte minden jelentős változását egy </w:t>
      </w:r>
      <w:r>
        <w:rPr>
          <w:i/>
          <w:color w:val="000000"/>
          <w:sz w:val="24"/>
          <w:szCs w:val="24"/>
        </w:rPr>
        <w:t xml:space="preserve">pudicitiá</w:t>
      </w:r>
      <w:r>
        <w:rPr>
          <w:color w:val="000000"/>
          <w:sz w:val="24"/>
          <w:szCs w:val="24"/>
        </w:rPr>
        <w:t xml:space="preserve">val (erkölcsi tisztaság) bíró nőre irányuló </w:t>
      </w:r>
      <w:r>
        <w:rPr>
          <w:i/>
          <w:color w:val="000000"/>
          <w:sz w:val="24"/>
          <w:szCs w:val="24"/>
        </w:rPr>
        <w:t xml:space="preserve">libido </w:t>
      </w:r>
      <w:r>
        <w:rPr>
          <w:color w:val="000000"/>
          <w:sz w:val="24"/>
          <w:szCs w:val="24"/>
        </w:rPr>
        <w:t xml:space="preserve">(kéjvágy), abúzus előzte meg. Livius igen fontosnak tartotta a </w:t>
      </w:r>
      <w:r>
        <w:rPr>
          <w:i/>
          <w:color w:val="000000"/>
          <w:sz w:val="24"/>
          <w:szCs w:val="24"/>
        </w:rPr>
        <w:t xml:space="preserve">nexum </w:t>
      </w:r>
      <w:r>
        <w:rPr>
          <w:color w:val="000000"/>
          <w:sz w:val="24"/>
          <w:szCs w:val="24"/>
        </w:rPr>
        <w:t xml:space="preserve">eltörlését, jelentősgét a köztársaság megszületéséhez mérte: </w:t>
      </w:r>
      <w:r>
        <w:rPr>
          <w:i/>
          <w:color w:val="000000"/>
          <w:sz w:val="24"/>
          <w:szCs w:val="24"/>
        </w:rPr>
        <w:t xml:space="preserve">velut aliud initium libertatis</w:t>
      </w:r>
      <w:r>
        <w:rPr>
          <w:color w:val="000000"/>
          <w:sz w:val="24"/>
          <w:szCs w:val="24"/>
        </w:rPr>
        <w:t xml:space="preserve"> (a szabadságnak szinte új hajnala; 8.28.1). A történetben feltűnő </w:t>
      </w:r>
      <w:r>
        <w:rPr>
          <w:i/>
          <w:color w:val="000000"/>
          <w:sz w:val="24"/>
          <w:szCs w:val="24"/>
        </w:rPr>
        <w:t xml:space="preserve">iuvenis</w:t>
      </w:r>
      <w:r>
        <w:rPr>
          <w:color w:val="000000"/>
          <w:sz w:val="24"/>
          <w:szCs w:val="24"/>
        </w:rPr>
        <w:t xml:space="preserve">t mind társadalmi státusa, mind </w:t>
      </w:r>
      <w:r>
        <w:rPr>
          <w:i/>
          <w:color w:val="000000"/>
          <w:sz w:val="24"/>
          <w:szCs w:val="24"/>
        </w:rPr>
        <w:t xml:space="preserve">flos aetatis</w:t>
      </w:r>
      <w:r>
        <w:rPr>
          <w:color w:val="000000"/>
          <w:sz w:val="24"/>
          <w:szCs w:val="24"/>
        </w:rPr>
        <w:t xml:space="preserve">a (fiatalság virága) a nőszereplőkhöz köti, így feltételezhetünk egy Lucretia – Verginia – Publilius </w:t>
      </w:r>
      <w:r>
        <w:rPr>
          <w:i/>
          <w:color w:val="000000"/>
          <w:sz w:val="24"/>
          <w:szCs w:val="24"/>
        </w:rPr>
        <w:t xml:space="preserve">exemplum-</w:t>
      </w:r>
      <w:r>
        <w:rPr>
          <w:color w:val="000000"/>
          <w:sz w:val="24"/>
          <w:szCs w:val="24"/>
        </w:rPr>
        <w:t xml:space="preserve">láncot, amelynek Liviusnál egy leegyszerűsített változata maradt fenn – szemben Dionysiosszal.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39870">
    <w:multiLevelType w:val="hybridMultilevel"/>
    <w:lvl w:ilvl="0" w:tplc="50942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39870">
    <w:abstractNumId w:val="320398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425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