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ECSEDI ZOÁRD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ecsezoard@gmail.com</w:t>
            </w:r>
            <w:r w:rsidRPr="001067CD">
              <w:rPr>
                <w:i/>
              </w:rPr>
              <w:br/>
            </w:r>
            <w:r w:rsidR="00A96AEC">
              <w:t>kémia-matematika osztatlan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BEATRIX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dr.trixi44@gmail.com</w:t>
            </w:r>
            <w:bookmarkStart w:id="1" w:name="_GoBack"/>
            <w:bookmarkEnd w:id="1"/>
            <w:r w:rsidRPr="001067CD">
              <w:br/>
            </w:r>
            <w:r w:rsidR="00C275A3">
              <w:t>biológia-kémia osztatlan tanár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Enterszné dr. Kocsis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Tanárszakos hallgatók tapasztalatainak kvantitatív vizsgálata a társasjáték-pedagógiával kapcsolatban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társasjáték-pedagógia; pedagógusképzés fejlesztése; oktatási módszerek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iskolapadban ülő generáció(k) oktatása hatalmas kihívás elé állítja a pedagógusokat,</w:t>
      </w:r>
      <w:r>
        <w:rPr>
          <w:color w:val="000000"/>
          <w:sz w:val="24"/>
          <w:szCs w:val="24"/>
        </w:rPr>
        <w:br/>
        <w:t xml:space="preserve">hiszen a legújabb tanulási modellek nem egyeztethetők össze a hagyományos oktatási</w:t>
      </w:r>
      <w:r>
        <w:rPr>
          <w:color w:val="000000"/>
          <w:sz w:val="24"/>
          <w:szCs w:val="24"/>
        </w:rPr>
        <w:br/>
        <w:t xml:space="preserve">módszerekkel (Khalaf &amp; Zin, 2018). A tanárjelölteknek meg kell ismerkednie új, innovatív</w:t>
      </w:r>
      <w:r>
        <w:rPr>
          <w:color w:val="000000"/>
          <w:sz w:val="24"/>
          <w:szCs w:val="24"/>
        </w:rPr>
        <w:br/>
        <w:t xml:space="preserve">módszerekkel azon cél érdekében, hogy a tanulókat hatékonyan motiválják és oktassák</w:t>
      </w:r>
      <w:r>
        <w:rPr>
          <w:color w:val="000000"/>
          <w:sz w:val="24"/>
          <w:szCs w:val="24"/>
        </w:rPr>
        <w:br/>
        <w:t xml:space="preserve">(Mészáros, 2014; Bácsi, 2017). Olyan technikákat és oktatási stratégiákat kell alkalmazni,</w:t>
      </w:r>
      <w:r>
        <w:rPr>
          <w:color w:val="000000"/>
          <w:sz w:val="24"/>
          <w:szCs w:val="24"/>
        </w:rPr>
        <w:br/>
        <w:t xml:space="preserve">amelyek nem csupán a tanulás kognitív, hanem a szociális és érzelmi dimenziójára is építenek</w:t>
      </w:r>
      <w:r>
        <w:rPr>
          <w:color w:val="000000"/>
          <w:sz w:val="24"/>
          <w:szCs w:val="24"/>
        </w:rPr>
        <w:br/>
        <w:t xml:space="preserve">(Illeris, 2010; Lim et al., 2019), valamint magukba foglalják a 4C modellt (Bereczki, 2016). A</w:t>
      </w:r>
      <w:r>
        <w:rPr>
          <w:color w:val="000000"/>
          <w:sz w:val="24"/>
          <w:szCs w:val="24"/>
        </w:rPr>
        <w:br/>
        <w:t xml:space="preserve">társasjáték-pedagógia használható módszernek bizonyul a 21. századi oktatás problémakörének</w:t>
      </w:r>
      <w:r>
        <w:rPr>
          <w:color w:val="000000"/>
          <w:sz w:val="24"/>
          <w:szCs w:val="24"/>
        </w:rPr>
        <w:br/>
        <w:t xml:space="preserve">megoldására és a társasjátékok alkalmasak új téma bevezetésére vagy konkrét tananyagrészek</w:t>
      </w:r>
      <w:r>
        <w:rPr>
          <w:color w:val="000000"/>
          <w:sz w:val="24"/>
          <w:szCs w:val="24"/>
        </w:rPr>
        <w:br/>
        <w:t xml:space="preserve">megtanítására is (Damsa &amp; Fromann, 2016; Antonaci et al., 2015). A kutatásunk fő célja, hogy</w:t>
      </w:r>
      <w:r>
        <w:rPr>
          <w:color w:val="000000"/>
          <w:sz w:val="24"/>
          <w:szCs w:val="24"/>
        </w:rPr>
        <w:br/>
        <w:t xml:space="preserve">felmérjük a tanárszakos hallgatók innovatív, modern oktatási módszerekhez fűződő ismereteit</w:t>
      </w:r>
      <w:r>
        <w:rPr>
          <w:color w:val="000000"/>
          <w:sz w:val="24"/>
          <w:szCs w:val="24"/>
        </w:rPr>
        <w:br/>
        <w:t xml:space="preserve">és véleményeit. Választ keresünk arra a kérdésre, hogy a képzésük alatt megismerkednek-e a</w:t>
      </w:r>
      <w:r>
        <w:rPr>
          <w:color w:val="000000"/>
          <w:sz w:val="24"/>
          <w:szCs w:val="24"/>
        </w:rPr>
        <w:br/>
        <w:t xml:space="preserve">társasjáték-pedagógiával és a módszer által nyújtotta lehetőségekkel, illetve mennyire bátran</w:t>
      </w:r>
      <w:r>
        <w:rPr>
          <w:color w:val="000000"/>
          <w:sz w:val="24"/>
          <w:szCs w:val="24"/>
        </w:rPr>
        <w:br/>
        <w:t xml:space="preserve">mernék használni a munkájuk során. Kutatásunk során továbbá felmérjük az egyetemen oktatók</w:t>
      </w:r>
      <w:r>
        <w:rPr>
          <w:color w:val="000000"/>
          <w:sz w:val="24"/>
          <w:szCs w:val="24"/>
        </w:rPr>
        <w:br/>
        <w:t xml:space="preserve">által használt didaktikai módszerek és munkaformák gyakoriságát is. Kvantitatív módszert</w:t>
      </w:r>
      <w:r>
        <w:rPr>
          <w:color w:val="000000"/>
          <w:sz w:val="24"/>
          <w:szCs w:val="24"/>
        </w:rPr>
        <w:br/>
        <w:t xml:space="preserve">alkalmaztunk és mérőeszközként egy kérdőívet alkottunk meg, amit 103 fő, Debreceni</w:t>
      </w:r>
      <w:r>
        <w:rPr>
          <w:color w:val="000000"/>
          <w:sz w:val="24"/>
          <w:szCs w:val="24"/>
        </w:rPr>
        <w:br/>
        <w:t xml:space="preserve">Egyetemen tanuló, tanár szakos hallgató töltött ki. A kapott eredmények alapján a megkérdezett</w:t>
      </w:r>
      <w:r>
        <w:rPr>
          <w:color w:val="000000"/>
          <w:sz w:val="24"/>
          <w:szCs w:val="24"/>
        </w:rPr>
        <w:br/>
        <w:t xml:space="preserve">hallgatók közül mindössze 54 fő hallott a társasjáték-pedagógiáról, nagy részük azonban</w:t>
      </w:r>
      <w:r>
        <w:rPr>
          <w:color w:val="000000"/>
          <w:sz w:val="24"/>
          <w:szCs w:val="24"/>
        </w:rPr>
        <w:br/>
        <w:t xml:space="preserve">motiváló és hatékony oktatási eszköznek tartja, továbbá igényük lenne arra, hogy a képzésük</w:t>
      </w:r>
      <w:r>
        <w:rPr>
          <w:color w:val="000000"/>
          <w:sz w:val="24"/>
          <w:szCs w:val="24"/>
        </w:rPr>
        <w:br/>
        <w:t xml:space="preserve">része legyen. Az egyetemi oktatók munkaformáinak és módszereinek változatosságáról kapott</w:t>
      </w:r>
      <w:r>
        <w:rPr>
          <w:color w:val="000000"/>
          <w:sz w:val="24"/>
          <w:szCs w:val="24"/>
        </w:rPr>
        <w:br/>
        <w:t xml:space="preserve">eredmények összhangban vannak Kocsis &amp; Pusztai (2024b) kvalitatív kutatásával, miszerint a</w:t>
      </w:r>
      <w:r>
        <w:rPr>
          <w:color w:val="000000"/>
          <w:sz w:val="24"/>
          <w:szCs w:val="24"/>
        </w:rPr>
        <w:br/>
        <w:t xml:space="preserve">hagyományosabb módszerek, az előadás és a magyarázat, illetve az egyéni és a frontális</w:t>
      </w:r>
      <w:r>
        <w:rPr>
          <w:color w:val="000000"/>
          <w:sz w:val="24"/>
          <w:szCs w:val="24"/>
        </w:rPr>
        <w:br/>
        <w:t xml:space="preserve">munkaforma domináló. Kutatásunk pilot kutatásnak tekinthető és bár vannak limitációi, számos</w:t>
      </w:r>
      <w:r>
        <w:rPr>
          <w:color w:val="000000"/>
          <w:sz w:val="24"/>
          <w:szCs w:val="24"/>
        </w:rPr>
        <w:br/>
        <w:t xml:space="preserve">hasznos információt nyertünk belőle, ami további kutatásokra ösztönöz, továbbá a</w:t>
      </w:r>
      <w:r>
        <w:rPr>
          <w:color w:val="000000"/>
          <w:sz w:val="24"/>
          <w:szCs w:val="24"/>
        </w:rPr>
        <w:br/>
        <w:t xml:space="preserve">pedagógusképzés fejlesztését is segítheti.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36630">
    <w:multiLevelType w:val="hybridMultilevel"/>
    <w:lvl w:ilvl="0" w:tplc="12902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36630">
    <w:abstractNumId w:val="16936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370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