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ZSÓFIA SZENES</w:t>
            </w:r>
          </w:p>
          <w:p w:rsidR="00C275A3" w:rsidRDefault="00CA6B74" w:rsidP="00C275A3">
            <w:pPr>
              <w:pStyle w:val="Hallgatokepzes"/>
            </w:pPr>
            <w:r w:rsidRPr="001067CD">
              <w:rPr>
                <w:i/>
              </w:rPr>
              <w:t>szenesezs@gmail.com</w:t>
            </w:r>
            <w:r w:rsidRPr="001067CD">
              <w:rPr>
                <w:i/>
              </w:rPr>
              <w:br/>
            </w:r>
            <w:r w:rsidR="00A96AEC">
              <w:t>International Security and Defence Policy</w:t>
            </w:r>
            <w:r w:rsidR="00A96AEC">
              <w:br/>
            </w:r>
            <w:r w:rsidR="00E77B23">
              <w:t>MA, 3.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Pol. Maj. István Kovács PhD</w:t>
            </w:r>
          </w:p>
          <w:p w:rsidR="00DB4822" w:rsidRDefault="00DB4822" w:rsidP="00BA6BAF">
            <w:pPr>
              <w:pStyle w:val="Konzulensektitulus"/>
            </w:pPr>
            <w:r w:rsidRPr="00DB4822">
              <w:t>Assistant Professor, Acting Head of Department,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Organized Crime as an Instrument of Russian Hybrid Warfare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Hybrid warfare; Organized crime; Russian Federation; Gerasimov model; SWOT analysis</w:t>
      </w:r>
      <w:r>
        <w:t xml:space="preserve"/>
      </w:r>
    </w:p>
    <w:p>
      <w:pPr>
        <w:widowControl w:val="on"/>
        <w:pBdr/>
        <w:spacing w:before="240" w:after="240" w:line="240" w:lineRule="auto"/>
        <w:ind w:left="0" w:right="0"/>
        <w:jc w:val="left"/>
      </w:pPr>
      <w:r>
        <w:rPr>
          <w:color w:val="000000"/>
          <w:sz w:val="24"/>
          <w:szCs w:val="24"/>
        </w:rPr>
        <w:t xml:space="preserve">Hybrid warfare gained prominence in the field of security studies following the annexation of the Crimean Peninsula, despite having already been a part of academic discourse in the mid- 2000s. Its significance is highlighted by the fact that both the European Union and Hungary’s strategic documents emphasize the importance of such threats.</w:t>
      </w:r>
    </w:p>
    <w:p>
      <w:pPr>
        <w:widowControl w:val="on"/>
        <w:pBdr/>
        <w:spacing w:before="240" w:after="240" w:line="240" w:lineRule="auto"/>
        <w:ind w:left="0" w:right="0"/>
        <w:jc w:val="left"/>
      </w:pPr>
      <w:r>
        <w:rPr>
          <w:color w:val="000000"/>
          <w:sz w:val="24"/>
          <w:szCs w:val="24"/>
        </w:rPr>
        <w:t xml:space="preserve">This thesis investigates the connection between hybrid warfare and criminality, with a specific focus on the utilization of local organized crime networks in Russian hybrid operations. It operates with qualitative research methods; via comparative analysis, it reviews the characteristics of the operational environment, which is followed by a SWOT analysis within the framework of the Gerasimov Model to evidence the potential use of organized crime during hybrid operations. Confirming its hypothesis, the thesis demonstrates that local criminal organizations can serve as tools for the Russian Federation in executing new-type warfare. Additionally, it explores which phases of the Gerasimov Model can incorporate these entities. As for structural matters, the thesis is divided into three main chapters, supplemented by an introductory chapter and a conclusion that interprets and summarizes the findings. First, significant literature is reviewed, analyzing works of key Russian and Western experts, including Frank Hoffman and authors Sergey Chekinov and Sergey Bogdanov. This is followed by a comparative analysis, based on a special set of criteria, comparing the operational environments of the Baltics (Estonia, Latvia, Lithuania), as well as Ukraine and Moldova. Finally, utilizing the theoretical framework of the Gerasimov Model, a SWOT analysis is conducted to assess the applicability of the aforementioned criminal networks in Russian hybrid warfare.</w:t>
      </w:r>
    </w:p>
    <w:p>
      <w:pPr>
        <w:widowControl w:val="on"/>
        <w:pBdr/>
        <w:spacing w:before="240" w:after="240" w:line="240" w:lineRule="auto"/>
        <w:ind w:left="0" w:right="0"/>
        <w:jc w:val="left"/>
      </w:pPr>
      <w:r>
        <w:rPr>
          <w:color w:val="000000"/>
          <w:sz w:val="24"/>
          <w:szCs w:val="24"/>
        </w:rPr>
        <w:t xml:space="preserve">The novelty of this thesis primarily stems from the lack of scientific research in the topic and the complexity of the applied methodologies. To date, international literature has been short of a study that specifically examines the utilization of organized crime in Russian hybrid operation within a similar context. This thesis comprehensively proves the validity of Frank Hoffman’s theory, which posits that criminal behavior shall be regarded as a modality of hybrid warfare, which is considered an original contribution. Additionally, the interpretation of organized crime within the framework of the Gerasimov Model is also seen as an original addition to the scientific discourse.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58926">
    <w:multiLevelType w:val="hybridMultilevel"/>
    <w:lvl w:ilvl="0" w:tplc="26226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58926">
    <w:abstractNumId w:val="254589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1028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