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GÉVAI-LEIMETER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leimeter.ilona@gmail.com</w:t>
            </w:r>
            <w:r w:rsidRPr="001067CD">
              <w:rPr>
                <w:i/>
              </w:rPr>
              <w:br/>
            </w:r>
            <w:r w:rsidR="00A96AEC">
              <w:t>Orosz nyelv és irodalom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Gyöngyösi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Zoltán Dominika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Csehov "A tokba bújt ember" című elbeszélésének újraértelmezései (Fjodor Szologub "Undok ördög", Vjacseszlav Pjecuh "A mi tokba bújt emberünk")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Csehov, Szologub, Pjecuh, "tokba bújt ember", újraértelmezés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A. P. Csehov „tokba bújt ember” karakterét elemzem, és igyekszem feltárni</w:t>
      </w:r>
      <w:r>
        <w:rPr>
          <w:color w:val="000000"/>
          <w:sz w:val="24"/>
          <w:szCs w:val="24"/>
        </w:rPr>
        <w:br/>
        <w:t xml:space="preserve">lehetséges értelmezéseit F. K. Szologub „Undok ördög” és V. A. Pjecuh „A mi tokba bújt</w:t>
      </w:r>
      <w:r>
        <w:rPr>
          <w:color w:val="000000"/>
          <w:sz w:val="24"/>
          <w:szCs w:val="24"/>
        </w:rPr>
        <w:br/>
        <w:t xml:space="preserve">emberünk” című műveken keresztül az intertextualitás tükrében.</w:t>
      </w:r>
      <w:r>
        <w:rPr>
          <w:color w:val="000000"/>
          <w:sz w:val="24"/>
          <w:szCs w:val="24"/>
        </w:rPr>
        <w:br/>
        <w:t xml:space="preserve">Elemzem a hősök közötti hasonlóságokat, elsődlegesen a Z. Minc által is megfogalmazottak</w:t>
      </w:r>
      <w:r>
        <w:rPr>
          <w:color w:val="000000"/>
          <w:sz w:val="24"/>
          <w:szCs w:val="24"/>
        </w:rPr>
        <w:br/>
        <w:t xml:space="preserve">alapján (Csehov–Szologub), illetve kifejtem az eredetmotívumtól való elszakadást,</w:t>
      </w:r>
      <w:r>
        <w:rPr>
          <w:color w:val="000000"/>
          <w:sz w:val="24"/>
          <w:szCs w:val="24"/>
        </w:rPr>
        <w:br/>
        <w:t xml:space="preserve">amennyiben arra a következtetésre jutok, hogy Szologub karaktere, Peredonov a lélek nélküli</w:t>
      </w:r>
      <w:r>
        <w:rPr>
          <w:color w:val="000000"/>
          <w:sz w:val="24"/>
          <w:szCs w:val="24"/>
        </w:rPr>
        <w:br/>
        <w:t xml:space="preserve">„tokba bújt ember” mélybe taszított változata, Pjecuh főhőse, Szerpejev pedig a „tokba bújt”</w:t>
      </w:r>
      <w:r>
        <w:rPr>
          <w:color w:val="000000"/>
          <w:sz w:val="24"/>
          <w:szCs w:val="24"/>
        </w:rPr>
        <w:br/>
        <w:t xml:space="preserve">lélek őrzője és tanítója. A három műben közös motívum az elszigetelődés és a világtól való</w:t>
      </w:r>
      <w:r>
        <w:rPr>
          <w:color w:val="000000"/>
          <w:sz w:val="24"/>
          <w:szCs w:val="24"/>
        </w:rPr>
        <w:br/>
        <w:t xml:space="preserve">félelem, amely azonban eltérő módon van jelen. Szeredás Lőrinc tanulmányához fordulva</w:t>
      </w:r>
      <w:r>
        <w:rPr>
          <w:color w:val="000000"/>
          <w:sz w:val="24"/>
          <w:szCs w:val="24"/>
        </w:rPr>
        <w:br/>
        <w:t xml:space="preserve">elemzem a „tok” rétegeit a karakterek és a keretszöveg szempontjaiból.</w:t>
      </w:r>
      <w:r>
        <w:rPr>
          <w:color w:val="000000"/>
          <w:sz w:val="24"/>
          <w:szCs w:val="24"/>
        </w:rPr>
        <w:br/>
        <w:t xml:space="preserve">Külön fejezetben vizsgálom a tanári hivatás kapcsolódását a „tokba bújt ember” motívumához.</w:t>
      </w:r>
      <w:r>
        <w:rPr>
          <w:color w:val="000000"/>
          <w:sz w:val="24"/>
          <w:szCs w:val="24"/>
        </w:rPr>
        <w:br/>
        <w:t xml:space="preserve">Belikov és Szerpejev hisznek abban, hogy a kultúra lehetővé teszi az emberi lélek kiteljesedését</w:t>
      </w:r>
      <w:r>
        <w:rPr>
          <w:color w:val="000000"/>
          <w:sz w:val="24"/>
          <w:szCs w:val="24"/>
        </w:rPr>
        <w:br/>
        <w:t xml:space="preserve">és magasabb szintű fejlődését. Ebből a szempontból párhuzamot vonok a gogoli Basmacskin</w:t>
      </w:r>
      <w:r>
        <w:rPr>
          <w:color w:val="000000"/>
          <w:sz w:val="24"/>
          <w:szCs w:val="24"/>
        </w:rPr>
        <w:br/>
        <w:t xml:space="preserve">karakterével. Bár Peredonov e megközelítés alól kivételt jelent, ugyanakkor megerősíti azt az</w:t>
      </w:r>
      <w:r>
        <w:rPr>
          <w:color w:val="000000"/>
          <w:sz w:val="24"/>
          <w:szCs w:val="24"/>
        </w:rPr>
        <w:br/>
        <w:t xml:space="preserve">állítást, hogy a kultúra az emberi lélek folyamatos gyarapodásának nélkülözhetetlen táptalaja,</w:t>
      </w:r>
      <w:r>
        <w:rPr>
          <w:color w:val="000000"/>
          <w:sz w:val="24"/>
          <w:szCs w:val="24"/>
        </w:rPr>
        <w:br/>
        <w:t xml:space="preserve">mely nélkül az végleg elpusztul. A további kapcsolódásokat Basmacskin karakterével M.</w:t>
      </w:r>
      <w:r>
        <w:rPr>
          <w:color w:val="000000"/>
          <w:sz w:val="24"/>
          <w:szCs w:val="24"/>
        </w:rPr>
        <w:br/>
        <w:t xml:space="preserve">Epstejn írását felhasználva elemzem.</w:t>
      </w:r>
      <w:r>
        <w:rPr>
          <w:color w:val="000000"/>
          <w:sz w:val="24"/>
          <w:szCs w:val="24"/>
        </w:rPr>
        <w:br/>
        <w:t xml:space="preserve">Munkám során figyelmet kap az áldozat és áldozatiság szerepe, mely mindhárom műben jelen</w:t>
      </w:r>
      <w:r>
        <w:rPr>
          <w:color w:val="000000"/>
          <w:sz w:val="24"/>
          <w:szCs w:val="24"/>
        </w:rPr>
        <w:br/>
        <w:t xml:space="preserve">van – a csehovi Belikov saját elveinek áldozatává válik, Peredonovot megbetegedett elméje</w:t>
      </w:r>
      <w:r>
        <w:rPr>
          <w:color w:val="000000"/>
          <w:sz w:val="24"/>
          <w:szCs w:val="24"/>
        </w:rPr>
        <w:br/>
        <w:t xml:space="preserve">taszítja gyilkosságba, és lesz ezáltal maga is áldozat, Szerpejev pedig feláldozza magát, mert</w:t>
      </w:r>
      <w:r>
        <w:rPr>
          <w:color w:val="000000"/>
          <w:sz w:val="24"/>
          <w:szCs w:val="24"/>
        </w:rPr>
        <w:br/>
        <w:t xml:space="preserve">nem hajlandó lemondani a meggyőződéseiről. Felvetem továbbá a platóni erósz-mítoszhoz való</w:t>
      </w:r>
      <w:r>
        <w:rPr>
          <w:color w:val="000000"/>
          <w:sz w:val="24"/>
          <w:szCs w:val="24"/>
        </w:rPr>
        <w:br/>
        <w:t xml:space="preserve">kapcsolódás aspektusát a művekben, melyekben a karakterek az igazság és a létezés mélyebb</w:t>
      </w:r>
      <w:r>
        <w:rPr>
          <w:color w:val="000000"/>
          <w:sz w:val="24"/>
          <w:szCs w:val="24"/>
        </w:rPr>
        <w:br/>
        <w:t xml:space="preserve">megismerésére törekednek, azonban a romlott közösség elől védelmet nyújtó „tokba bújás”</w:t>
      </w:r>
      <w:r>
        <w:rPr>
          <w:color w:val="000000"/>
          <w:sz w:val="24"/>
          <w:szCs w:val="24"/>
        </w:rPr>
        <w:br/>
        <w:t xml:space="preserve">megakadályozza ennek a vágynak a beteljesülését.</w:t>
      </w:r>
      <w:r>
        <w:rPr>
          <w:color w:val="000000"/>
          <w:sz w:val="24"/>
          <w:szCs w:val="24"/>
        </w:rPr>
        <w:br/>
        <w:t xml:space="preserve">Vizsgálom az „Undok ördög” és „A mi tokba bújt emberünk” intertextuális kapcsolódását a</w:t>
      </w:r>
      <w:r>
        <w:rPr>
          <w:color w:val="000000"/>
          <w:sz w:val="24"/>
          <w:szCs w:val="24"/>
        </w:rPr>
        <w:br/>
        <w:t xml:space="preserve">csehovi eredetszöveghez. Míg Szologub műve átírja a „tokba bújt ember” karakterét, kiemelve</w:t>
      </w:r>
      <w:r>
        <w:rPr>
          <w:color w:val="000000"/>
          <w:sz w:val="24"/>
          <w:szCs w:val="24"/>
        </w:rPr>
        <w:br/>
        <w:t xml:space="preserve">annak negatív személyiségjegyeit, addig Pjecuh újraértelmezi és lebontja a motívumot. Bár az</w:t>
      </w:r>
      <w:r>
        <w:rPr>
          <w:color w:val="000000"/>
          <w:sz w:val="24"/>
          <w:szCs w:val="24"/>
        </w:rPr>
        <w:br/>
        <w:t xml:space="preserve">elbeszélő az irodalomtörténeti klisé szerint értelmezi Belikovot mint hősének elődjét, az olvasó</w:t>
      </w:r>
      <w:r>
        <w:rPr>
          <w:color w:val="000000"/>
          <w:sz w:val="24"/>
          <w:szCs w:val="24"/>
        </w:rPr>
        <w:br/>
        <w:t xml:space="preserve">mégis túllép a sablonos értelmezéseken, és mélyebben, komplexebben kezdi értékelni Csehov</w:t>
      </w:r>
      <w:r>
        <w:rPr>
          <w:color w:val="000000"/>
          <w:sz w:val="24"/>
          <w:szCs w:val="24"/>
        </w:rPr>
        <w:br/>
        <w:t xml:space="preserve">művét is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16707">
    <w:multiLevelType w:val="hybridMultilevel"/>
    <w:lvl w:ilvl="0" w:tplc="41175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16707">
    <w:abstractNumId w:val="920167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572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