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HORHI MÁRTA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hordo@student.elte.hu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F. Gulyás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Elidegeníthető-elidegeníthetetlen birtokviszony kifejezése a magyarban - ómagyar kori korpuszvizsgálat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birtokos szerkezet, elidegeníthető, elidegeníthetetlen, korpuszvizsgálat, ómagyar kor,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magyarban a birtok elidegeníthetősége nem játszik szerepet a birtokviszony kifejezésében (vö. Péter feje/autója/lova/anyja), ugyanakkor vannak olyan melléknévképzőink, amelyek kvázi birtokos szerkezetekben is megjelenhetnek, s ezek esetében az elidegeníthetőség motiváló tényező.</w:t>
      </w:r>
      <w:r>
        <w:rPr>
          <w:color w:val="000000"/>
          <w:sz w:val="24"/>
          <w:szCs w:val="24"/>
        </w:rPr>
        <w:br/>
        <w:t xml:space="preserve">A témakör szinkrón vizsgálatával már többen foglalkoztak, köztük KIEFER FERENC (1998) és SCHIRM ANITA (2005), így jómagam történeti szempontból közelítettem meg a kérdést. Kutatásomban az elidegeníthetőség ómagyar kori meglétét vizsgálom, a Magyar Generatív Történeti Szintaxis oldalán elérhető Apor, Bécsi, Birk és Bod-kódexek digitalizált szövegeiben. A nyelvemlékekből manuálisan kigyűjtöttem azokat a két-, illetve háromtagú jelzős szerkezeteket, amelyek -(V)s, valamint -(j)ú/-(j)ű szuffixumok segítségével konstruálódtak meg. Ezt követően általam választott szakirodalmak alapján kritériumokat szabtam meg, s azokat figyelembe véve eldöntöttem, eredményeznek-e ezek a szerkezetek valódi birtokviszonyt vagy sem. Az egyes példákat morfológiai, szintaktikai, és szemantikai kritériumok alapján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28118">
    <w:multiLevelType w:val="hybridMultilevel"/>
    <w:lvl w:ilvl="0" w:tplc="31648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28118">
    <w:abstractNumId w:val="86528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586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