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MERI ALAVERDYAN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mery131984@gmail.com</w:t>
            </w:r>
            <w:r w:rsidRPr="001067CD">
              <w:rPr>
                <w:i/>
              </w:rPr>
              <w:br/>
            </w:r>
            <w:r w:rsidR="00A96AEC">
              <w:t>Humanities and Social Sciences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Black Hours and Golden Age in Armenian History Textbooks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Textbook, Armenia, Black Hours, Golden Age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Textbooks play a crucial role in the study of history, as they document significant</w:t>
      </w:r>
      <w:r>
        <w:rPr>
          <w:color w:val="000000"/>
          <w:sz w:val="24"/>
          <w:szCs w:val="24"/>
        </w:rPr>
        <w:br/>
        <w:t xml:space="preserve">historical events and narratives, shaping the understanding of the past for future generations.</w:t>
      </w:r>
      <w:r>
        <w:rPr>
          <w:color w:val="000000"/>
          <w:sz w:val="24"/>
          <w:szCs w:val="24"/>
        </w:rPr>
        <w:br/>
        <w:t xml:space="preserve">By analyzing textbooks historians can show how history has been told in various eras,</w:t>
      </w:r>
      <w:r>
        <w:rPr>
          <w:color w:val="000000"/>
          <w:sz w:val="24"/>
          <w:szCs w:val="24"/>
        </w:rPr>
        <w:br/>
        <w:t xml:space="preserve">emphasizing narrative shifts, additions, omissions, and the influence of textbooks on the</w:t>
      </w:r>
      <w:r>
        <w:rPr>
          <w:color w:val="000000"/>
          <w:sz w:val="24"/>
          <w:szCs w:val="24"/>
        </w:rPr>
        <w:br/>
        <w:t xml:space="preserve">formation of national identity. Textbooks are regarded as primary sources in historical research</w:t>
      </w:r>
      <w:r>
        <w:rPr>
          <w:color w:val="000000"/>
          <w:sz w:val="24"/>
          <w:szCs w:val="24"/>
        </w:rPr>
        <w:br/>
        <w:t xml:space="preserve">due to their role in shaping collective memory, preserving memory and history, and national</w:t>
      </w:r>
      <w:r>
        <w:rPr>
          <w:color w:val="000000"/>
          <w:sz w:val="24"/>
          <w:szCs w:val="24"/>
        </w:rPr>
        <w:br/>
        <w:t xml:space="preserve">identity.</w:t>
      </w:r>
      <w:r>
        <w:rPr>
          <w:color w:val="000000"/>
          <w:sz w:val="24"/>
          <w:szCs w:val="24"/>
        </w:rPr>
        <w:br/>
        <w:t xml:space="preserve">My research question is what in Armenian History textbooks were presented and</w:t>
      </w:r>
      <w:r>
        <w:rPr>
          <w:color w:val="000000"/>
          <w:sz w:val="24"/>
          <w:szCs w:val="24"/>
        </w:rPr>
        <w:br/>
        <w:t xml:space="preserve">characterized as Black Hours and Golden Age and how are the same historical events presented</w:t>
      </w:r>
      <w:r>
        <w:rPr>
          <w:color w:val="000000"/>
          <w:sz w:val="24"/>
          <w:szCs w:val="24"/>
        </w:rPr>
        <w:br/>
        <w:t xml:space="preserve">in textbooks in different periods? Precisely, Black hours refer to the difficult, hard, and</w:t>
      </w:r>
      <w:r>
        <w:rPr>
          <w:color w:val="000000"/>
          <w:sz w:val="24"/>
          <w:szCs w:val="24"/>
        </w:rPr>
        <w:br/>
        <w:t xml:space="preserve">sufferable times for Armenians. The contrary Golden Age refers to the flourishing times of</w:t>
      </w:r>
      <w:r>
        <w:rPr>
          <w:color w:val="000000"/>
          <w:sz w:val="24"/>
          <w:szCs w:val="24"/>
        </w:rPr>
        <w:br/>
        <w:t xml:space="preserve">Armenian history. I chose the title Golden Age and Black Hours comparing two different sides</w:t>
      </w:r>
      <w:r>
        <w:rPr>
          <w:color w:val="000000"/>
          <w:sz w:val="24"/>
          <w:szCs w:val="24"/>
        </w:rPr>
        <w:br/>
        <w:t xml:space="preserve">of historical events, similar to the project of Georg Eckert Institute “Black Hours and Golden</w:t>
      </w:r>
      <w:r>
        <w:rPr>
          <w:color w:val="000000"/>
          <w:sz w:val="24"/>
          <w:szCs w:val="24"/>
        </w:rPr>
        <w:br/>
        <w:t xml:space="preserve">Times - European Urban Fates. Three case studies,” where three cities were studied “in their</w:t>
      </w:r>
      <w:r>
        <w:rPr>
          <w:color w:val="000000"/>
          <w:sz w:val="24"/>
          <w:szCs w:val="24"/>
        </w:rPr>
        <w:br/>
        <w:t xml:space="preserve">most difficult situations - the black hours - and at their peak - the golden times.”1 The project</w:t>
      </w:r>
      <w:r>
        <w:rPr>
          <w:color w:val="000000"/>
          <w:sz w:val="24"/>
          <w:szCs w:val="24"/>
        </w:rPr>
        <w:br/>
        <w:t xml:space="preserve">was mostly about the pasts of three European Capitals of Culture: Essen, Krakow, and Vilnius.</w:t>
      </w:r>
      <w:r>
        <w:rPr>
          <w:color w:val="000000"/>
          <w:sz w:val="24"/>
          <w:szCs w:val="24"/>
        </w:rPr>
        <w:br/>
        <w:t xml:space="preserve">This was done to show how different European history is. The goal was to provide different</w:t>
      </w:r>
      <w:r>
        <w:rPr>
          <w:color w:val="000000"/>
          <w:sz w:val="24"/>
          <w:szCs w:val="24"/>
        </w:rPr>
        <w:br/>
        <w:t xml:space="preserve">perspectives on shared European history, cultural connections, and conflicts while moving</w:t>
      </w:r>
      <w:r>
        <w:rPr>
          <w:color w:val="000000"/>
          <w:sz w:val="24"/>
          <w:szCs w:val="24"/>
        </w:rPr>
        <w:br/>
        <w:t xml:space="preserve">beyond current national borders, and to encourage a more inclusive and open understanding of</w:t>
      </w:r>
      <w:r>
        <w:rPr>
          <w:color w:val="000000"/>
          <w:sz w:val="24"/>
          <w:szCs w:val="24"/>
        </w:rPr>
        <w:br/>
        <w:t xml:space="preserve">Europe’s past.</w:t>
      </w:r>
      <w:r>
        <w:rPr>
          <w:color w:val="000000"/>
          <w:sz w:val="24"/>
          <w:szCs w:val="24"/>
        </w:rPr>
        <w:br/>
        <w:t xml:space="preserve">I selected Armenian history textbooks from five different periods. These include the</w:t>
      </w:r>
      <w:r>
        <w:rPr>
          <w:color w:val="000000"/>
          <w:sz w:val="24"/>
          <w:szCs w:val="24"/>
        </w:rPr>
        <w:br/>
        <w:t xml:space="preserve">Tsarist Period, which refers to textbooks used in Armenian schools under Russian Imperial rule;</w:t>
      </w:r>
      <w:r>
        <w:rPr>
          <w:color w:val="000000"/>
          <w:sz w:val="24"/>
          <w:szCs w:val="24"/>
        </w:rPr>
        <w:br/>
        <w:t xml:space="preserve">the Ottoman Period, textbooks used in Armenian schools within the Ottoman Empire; the Soviet</w:t>
      </w:r>
      <w:r>
        <w:rPr>
          <w:color w:val="000000"/>
          <w:sz w:val="24"/>
          <w:szCs w:val="24"/>
        </w:rPr>
        <w:br/>
        <w:t xml:space="preserve">Period (Brezhnev, Gorbachev period), textbooks used during the Soviet period; the Diaspora</w:t>
      </w:r>
      <w:r>
        <w:rPr>
          <w:color w:val="000000"/>
          <w:sz w:val="24"/>
          <w:szCs w:val="24"/>
        </w:rPr>
        <w:br/>
        <w:t xml:space="preserve">Period, a textbook used in the Armenian diaspora in Tabriz, Iran; and the Post-Soviet Period,</w:t>
      </w:r>
      <w:r>
        <w:rPr>
          <w:color w:val="000000"/>
          <w:sz w:val="24"/>
          <w:szCs w:val="24"/>
        </w:rPr>
        <w:br/>
        <w:t xml:space="preserve">contemporary textbooks used in the Republic of Armenia.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47988">
    <w:multiLevelType w:val="hybridMultilevel"/>
    <w:lvl w:ilvl="0" w:tplc="83621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47988">
    <w:abstractNumId w:val="30847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008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