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bbenedek24@gmail.com</w:t>
            </w:r>
            <w:r w:rsidRPr="001067CD">
              <w:rPr>
                <w:i/>
              </w:rPr>
              <w:br/>
            </w:r>
            <w:r w:rsidR="00A96AEC">
              <w:t>Szlavisztika (orosz)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világ szintézise és női szakralitás Ivan Bunyin Aglaja című elbeszélésében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Bunyin; Aglaja; pravoszláv szentség; szláv népi mitológia; poétika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Ivan Bunyin, az első Nobel-díjas orosz író Aglaja című novelláját elemzi a női szentség, a keresztény és pogány-népi szimbolika történetalkotó és szövegképző szerepét vizsgálva.</w:t>
      </w:r>
      <w:r>
        <w:rPr>
          <w:color w:val="000000"/>
          <w:sz w:val="24"/>
          <w:szCs w:val="24"/>
        </w:rPr>
        <w:br/>
        <w:t xml:space="preserve">Elmondható, hogy a hazai ruszisztikában a Bunyin-kutatás meglehetősen alulreprezentált, az első Bunyin-monográfia csupán a közelmúltban jelent meg Magyarországon. Különösen igaz ez az Aglaja című, 1916-ben keletkezett novellára. Jóllehet Bunyin nagy jelentőséget tulajdonított ennek az elbeszélésének, a számunkra rendelkezésre álló hazai és nemzetközi szakirodalomban nem találtunk olyan átfogó interpretációt, amelyet önállóan e novellának szenteltek volna, és amely valódi mélységében, a szövegben rejlő valamennyi utalást és különleges alkotói eljárást feltérképezve vizsgálta volna a művet.</w:t>
      </w:r>
      <w:r>
        <w:rPr>
          <w:color w:val="000000"/>
          <w:sz w:val="24"/>
          <w:szCs w:val="24"/>
        </w:rPr>
        <w:br/>
        <w:t xml:space="preserve">A dolgozat a mű mitopoétikai, szemantikai-poétikai és intertextuális vizsgálatával arra a kérdésre keresi a választ, hogy miként jelenik meg a pogány termékenységkultusz és az orosz pravoszláv szentség összefonódása az elbeszélésben, s milyen szerepet töltenek be a két hitvilág dichotómikus kapcsolata mentén kibontakozó ellentétpárok a mű szüzséjének létrehozásában. Megvizsgáljuk a mű idő- és térszerkezetét, valamint a szöveg egyéb történetképző motívumait. A jelentős karakterek belső dinamikáinak, előképeinek meghatározásához, narratív szerepének megértéséhez etimológiai és szimbolikai névanalízisen, valamint az intertextuális utalások feltárásán keresztül jutunk el. A műfajiság és a narrátor- és beszédmódváltás kapcsán az alkalmazott szkáz szerepét vesszük figyelembe, melyen keresztül megjelenik az emlékezés problematikája is. Megállapítjuk, hogy a műfaji kettősség és a szövegbe foglalt ellentétpárok fő jelentősége azok szintézisében és meghaladásában rejlik, valamint, hogy Bunyin felfogása szerint ennek eléréséhez kizárólag a művészeten keresztül vezet az út.</w:t>
      </w:r>
      <w:r>
        <w:rPr>
          <w:color w:val="000000"/>
          <w:sz w:val="24"/>
          <w:szCs w:val="24"/>
        </w:rPr>
        <w:br/>
        <w:t xml:space="preserve">Az általunk kulcselbeszélésnek tekintett szöveg vizsgálata hozzájárulhat Bunyin életművének mélyebb megértéséhez, különösen az írónak az orosz népi vallásosságról alkotott egyedi felfogása, valamint művészetfelfogása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04612">
    <w:multiLevelType w:val="hybridMultilevel"/>
    <w:lvl w:ilvl="0" w:tplc="24218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04612">
    <w:abstractNumId w:val="888046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294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