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TŐCZIK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toczik.benedek02@gmail.com</w:t>
            </w:r>
            <w:r w:rsidRPr="001067CD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Nyirkos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„Adjátok meg a császárnak, ami a császáré; és az Istennek…?” Az Apostoli Szentszék és a Kínai Népköztársaság diplomáciai kapcsolatainak korlátai és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Apostoli Szentszék, Kínai Népköztársaság, politikai teológia, diplomácia, kereszténység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átalakuló és átrendeződő nemzetközi kapcsolataiban egyre inkább felértékelődik a vallási tényezők és szereplők jelenléte – legyen szó társadalmi folyamatokról, háborús konfliktusokról vagy globális kihívásokról –, ami egészen sajátos módon érvényes az Apostoli Szentszék és a Kínai Népköztársaság kapcsolatát illetően is.</w:t>
      </w:r>
      <w:r>
        <w:rPr>
          <w:color w:val="000000"/>
          <w:sz w:val="24"/>
          <w:szCs w:val="24"/>
        </w:rPr>
        <w:br/>
        <w:t xml:space="preserve">Dolgozatomban megkíséreltem rávilágítani e két aktor diplomáciai kapcsolatainak korlátaira és lehetőségeire. A témával kapcsolatban gyakran alkalmazott analógia az úgynevezett Ostpolitik, vagyis a Szentszék szocialista államokkal folytatott keleti politikája a hidegháború idején. Jelen dolgozat egyben ennek a megközelítésnek is egyfajta kiegészítése és kritikája kívánt lenni, amennyiben jelentős különbségek mutatkoznak a két térség és korszak között, ami legalábbis megkérdőjelezi a párhuzam hatékonyságát.</w:t>
      </w:r>
      <w:r>
        <w:rPr>
          <w:color w:val="000000"/>
          <w:sz w:val="24"/>
          <w:szCs w:val="24"/>
        </w:rPr>
        <w:br/>
        <w:t xml:space="preserve">A kutatás hipotézise ezzel szemben az volt, hogy az előbb említett Ostpolitik persze megkerülhetetlen az elemzés és értelmezés során – már csak azért is, mert vélhetően gyakorlati relevanciája is van –, ugyanakkor úgy tűnik, hogy a kapcsolat dinamikáját sokkal inkább az inkulturáció és a sinizáció feszültsége határozza meg. Úgy is fogalmazhatnánk, hogy a vita elsősorban nem politikai jellegű (ez lenne az Ostpolitik paradigmája), hanem prepolitikai színezete van (inkulturáció, sinizáció), amire előbbi csak rárakódik és elfedi – de legalábbis beárnyékolja – a tulajdonképpeni kérdéseket.</w:t>
      </w:r>
      <w:r>
        <w:rPr>
          <w:color w:val="000000"/>
          <w:sz w:val="24"/>
          <w:szCs w:val="24"/>
        </w:rPr>
        <w:br/>
        <w:t xml:space="preserve">Megállapításra került, hogy az inkulturáció és a sinizáció fogalmain keresztül egy hagyományos értelemben vett vallás és egy „szekuláris vallás” dialógusa figyelhető meg, ami jelentős mértékben korlátozza a felek mozgásterét. Úgy is lehetne fogalmazni, hogy a hivatalos kínai államideológia az egyébként szinkretizmusra jellemző, döntően konfuciánus kínai gondolkodást „doktrinálissá” és „dogmatikussá” teszi, ami által a kereszténység inkulturációjára csak abban az esetben van lehetőség, ha a sinizáció fogalmát a szentszéki narratíva relativizálja – amit a párbeszéd és az Egyház egységességének megőrzése érdekében meg is tesz.</w:t>
      </w:r>
      <w:r>
        <w:rPr>
          <w:color w:val="000000"/>
          <w:sz w:val="24"/>
          <w:szCs w:val="24"/>
        </w:rPr>
        <w:br/>
        <w:t xml:space="preserve">Mivel ez a fajta megközelítés nem szokványos, mindenképpen szükséges volt fogalmi definíciókkal élni és behatóan ismertetni az elemzés kontextusát – történelmi és teoretikus értelemben is. Reményeink szerint a politikai teológia eszköztárával érdemi szempontokkal tudtuk gazdagítani az Apostoli Szentszék és a Kínai Népköztársaság kapcsolatainak értelmezését.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00225">
    <w:multiLevelType w:val="hybridMultilevel"/>
    <w:lvl w:ilvl="0" w:tplc="34388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00225">
    <w:abstractNumId w:val="46500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097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