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SÓGOR ENDRE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endresogor@gmail.com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Vallási tolerancia és értéksemlegesség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vallási tolerancia; állam semlegessége; toleranciaparadoxon; multikulturalizmus; szekularizmus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kérdése, hogy hogyan értelmezendő az állam semlegessége a felhasznált szakirodalom tükrében, valamint, hogy hol van meghatározva a vallási tolerancia határa. A vallási tolerancia és az értéksemlegesség korrelálnak egymással. Amennyiben abszolút semlegességről beszélünk, akkor a tolerancia is feltételezhetően abszolút, viszont, ha a semlegesség nem abszolút, akkor kérdéses, hogy hol húzódik meg a tolerancia határa. A dolgozat a témát John Locke, John Stuart Mill, Michael Walzer, Charles Taylor és Jürgen Habermas munkáin keresztül közelíti meg. Ezek a szerzők a vallási tolerancia és az állami semlegesség különböző aspektusait vizsgálták.</w:t>
      </w:r>
      <w:r>
        <w:rPr>
          <w:color w:val="000000"/>
          <w:sz w:val="24"/>
          <w:szCs w:val="24"/>
        </w:rPr>
        <w:br/>
        <w:t xml:space="preserve">A dolgozat felépítése két fő részre tagolódik. Az első részben egyrészt John Locke a vallási toleranciáról szóló értekezésének a vizsgálatából áll, másrészt, hogy John Stuart Mill gondolkodásában az állami semlegesség a vallási tolerancia hogyan értelemzendő. Egy köztes részben Michael Walzer toleranciaelméletére és az ehhez fűződő toleranciarezsimelméletére fókuszál a dolgozat. A dolgozat második része két gondolkodó, Jürgen Habermas és Charles Taylor nézeteire épül. Egyfelől Jürgen Habermas egy írását elemezi, ami a vallási toleranciát kulcsfontosságú példának tartja a multikulturalizmus tükrében. Másrészt Charles Taylor a multikulturalizmusról írt értekezését vizsgálja a dolgozat, ami az egyenlő jogok politikája és a különbözőség politikája által feszegeti az állam semlegességének a lehetőségét, illetve szükségességét. Ezt követi Walzer és Habermas Taylor írására adott válaszainak bemutatása. A dolgozat végén említésre kerül Karl Popper toleranciaparadoxona, és hogy az miként értelmezhető a feldolgozott szerzők munkásságának tükrében.</w:t>
      </w:r>
      <w:r>
        <w:rPr>
          <w:color w:val="000000"/>
          <w:sz w:val="24"/>
          <w:szCs w:val="24"/>
        </w:rPr>
        <w:br/>
        <w:t xml:space="preserve">A dolgozat munkahipotézisének felállítását követően a kutatás fogalomtörténeti jelleget öltött. A kutatás során azonban egyértelmű vált, hogy a fogalomtörténeti elemzés nem alkalmas arra, hogy a gondolkodók implicit és explicit megnyilvánulásainak szintetizálására kerüljön, így az eszmetörténet relevánsabb eszközökkel szolgált.</w:t>
      </w:r>
      <w:r>
        <w:rPr>
          <w:color w:val="000000"/>
          <w:sz w:val="24"/>
          <w:szCs w:val="24"/>
        </w:rPr>
        <w:br/>
        <w:t xml:space="preserve">A dolgozat egyik eredménye, hogy kimutatható, hogy egyik gondolkodó sem abszolút semlegességként értelmezi az állam semlegességét, így a toleranciapradoxon is feloldódik. Egy másik eredmény pedig, hogy a szabad vallásgyakorlást a szerzők, csak bizonyos keretek között értelmezik, és amennyiben vallási dohmák gyakorlatok ütköznének a kerettel, a közösségeknek le kell mondaniuk ezekről, mert az állami keret elsőbbséget élvez.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53963">
    <w:multiLevelType w:val="hybridMultilevel"/>
    <w:lvl w:ilvl="0" w:tplc="84683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53963">
    <w:abstractNumId w:val="47753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567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