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CSEPREGI HORVÁTH DÓRA ANNA</w:t>
            </w:r>
          </w:p>
          <w:p w:rsidR="00C275A3" w:rsidRDefault="00CA6B74" w:rsidP="00C275A3">
            <w:pPr>
              <w:pStyle w:val="Hallgatokepzes"/>
            </w:pPr>
            <w:r w:rsidRPr="001067CD">
              <w:rPr>
                <w:i/>
              </w:rPr>
              <w:t>csepregi.horvath.dora@gmail.com</w:t>
            </w:r>
            <w:r w:rsidRPr="001067CD">
              <w:rPr>
                <w:i/>
              </w:rPr>
              <w:br/>
            </w:r>
            <w:r w:rsidR="00A96AEC">
              <w:t>Régészet</w:t>
            </w:r>
            <w:r w:rsidR="00A96AEC">
              <w:br/>
            </w:r>
            <w:r w:rsidR="00E77B23">
              <w:t>BA, 5.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Rácz Tibor Ákos</w:t>
            </w:r>
          </w:p>
          <w:p w:rsidR="00DB4822" w:rsidRDefault="00DB4822" w:rsidP="00BA6BAF">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Visegrád-Sibrik-dombi ispánsági vár kétosztatú kőépületei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későrómai erőd; kora Árpád-kori ispáni vár; ispáni palota; funkció; kerámiaanyag</w:t>
      </w:r>
      <w:r>
        <w:t xml:space="preserve"/>
      </w:r>
    </w:p>
    <w:p>
      <w:pPr>
        <w:widowControl w:val="on"/>
        <w:pBdr/>
        <w:spacing w:before="240" w:after="240" w:line="240" w:lineRule="auto"/>
        <w:ind w:left="0" w:right="0"/>
        <w:jc w:val="left"/>
      </w:pPr>
      <w:r>
        <w:rPr>
          <w:color w:val="000000"/>
          <w:sz w:val="24"/>
          <w:szCs w:val="24"/>
        </w:rPr>
        <w:t xml:space="preserve">  Az ispánsági várak egyik különleges és szerencsés példája a Visegrád-Sibrik-dombi ispánsági vár. A Pone Navata későrómai erődjének alapjaira épült központ területe jól kutatható, mely alkalmat ad a vár belső területének alaposabb vizsgálatára is. Az ’50-es évektől zajló kutatások egyik fontos pontja volt az 1974-75-ben lezajlott nagy területű ásatás, mely főként a vár délkeleti részét érintette. A számos római kori emlék mellett ekkor került elő egy mészkő kváderekből épült, kétosztatú kőépület, melyet az ásatók ispáni palotaként határoztak meg.</w:t>
      </w:r>
      <w:r>
        <w:rPr>
          <w:color w:val="000000"/>
          <w:sz w:val="24"/>
          <w:szCs w:val="24"/>
        </w:rPr>
        <w:br/>
        <w:t xml:space="preserve">  Az ásatás óta elmúlt 50 évben számos kérdés merült fel és több meghatározás is született az épülettel kapcsolatban. A kérdések alapvetően két lényegi pontra irányulnak. Ezek közül az első és egyben legfontosabb, az épület funkciójának meghatározása. Az ispáni palotaként való meghatározáson túl ugyanis felmerült a királyi udvarház megnevezés is. A kérdés eldöntéséhez elsődleges a párhuzamok vizsgálata, mely párhuzamok első sorban a korabeli erősségekben ispáni lakként meghatározott épületek. Ezen várak közül eddig a borsodi földvárból, Abaújvárról, Esztergomból, Pozsonyból és Sopronból ismerünk ispáni lakhelyként meghatározott építményeket. Ebből már elsőre világossá vált, hogy az ispánsági várakon belül nincs teljesen megfeleltethető párhuzama az épületnek, így fontos a királyi udvarházak mellett a határon túli 9-12. századi központok kőépületeinek vizsgálata is. Mivel jelenleg nem áll rendelkezésre elég mennyiségű adat a pontos funkció meghatározásához, ezért a legmegfelelőbb elnevezés a kétosztatú kőépület lehet, mely egyben egy épülettípust is jelöl.</w:t>
      </w:r>
      <w:r>
        <w:rPr>
          <w:color w:val="000000"/>
          <w:sz w:val="24"/>
          <w:szCs w:val="24"/>
        </w:rPr>
        <w:br/>
        <w:t xml:space="preserve">  A másik fő kérdés az épület minél pontosabb építési, illetve használati idejének megállapítása az épületből előkerült leletanyag feldolgozásával, illetve az épület szűkebb környezetében elhelyezkedő építmények figyelembevételével. Bár már az ásatáskor egyértelművé vált, hogy az épület a 11. században épülhetett, a századon belüli pontosabb keltezés nyitott kérdés maradt. A szinte kizárólag kerámiaanyagból álló leletanyag vizsgálata alapján azonban a század első felében való építés épp úgy lehetséges, mint a század második fele. A leletanyag feldolgozása során az is kiderült, hogy összetételében, minőségében nem tér el a környék kerámiaanyagától, így ez nem utal reprezentatív funkcióra.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27126">
    <w:multiLevelType w:val="hybridMultilevel"/>
    <w:lvl w:ilvl="0" w:tplc="24313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27126">
    <w:abstractNumId w:val="30227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117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