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BÁDI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badi.eszter@gmail.com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István dekrétumainak megszerkesztése és ennek nyugat-európai párhuzamai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Szent István; Admonti Kódex; Lex Baiuvariorum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Szent Istváni dekrétumok keletkezésének a szakirodalom által már sokat tárgyalt kérdéskörét közelítettem meg új szempontból. A legrégebbi kéziratot, az Admonti Kódexet használom kutatásom alapjaként. A kézirat a 19. század közepe óta áll a rendelkezésünkre, historiográfiája igen gazdag. Azonban egyik irodalom sem tett kísérletet behatóan vizsgálni a következő problémafelvetést.</w:t>
      </w:r>
      <w:r>
        <w:rPr>
          <w:color w:val="000000"/>
          <w:sz w:val="24"/>
          <w:szCs w:val="24"/>
        </w:rPr>
        <w:br/>
        <w:t xml:space="preserve">Ismert ugyanis, hogy az Admonti Kódex – az általunk ismert kéziratok közül egyedüliként – két törvénykönyvre osztja államalapító királyunk rendelkezéseit. A kéziratban található egy prológus és egy tartalomjegyzék is, utóbbin pedig egy igen érdekes felfedezést lehet tenni: világosan látszik, hogy eredetileg csak 31 cikkelyt tartalmazott. Ezt egészítette ki a scriptor 4 rendelkezés címével, feltehetően akkor, amikor összehasonlította az általa másolt szöveget a tartalomjegyzékkel. Azonban a tartalommutatóban így is csak 35 cikkely, történetesen az első dekrétum rendelkezésének címei olvashatóak. A második törvénykönyvhöz miért nem készült tartalomjegyzék? Nem állt volna a scriptor rendelkezésére, amikor először állította össze a tartalommutatót? A válasz egyszerű, a tartalomjegyzék nem az utána olvasható törvényszöveghez készült, a kettő minden bizonnyal más forrásból származik. Ennek bizonyítása érdekében dolgozatom további részében felvázolom a korabeli törvények hagyományozódásának nyugat-európai gyakorlatát.</w:t>
      </w:r>
      <w:r>
        <w:rPr>
          <w:color w:val="000000"/>
          <w:sz w:val="24"/>
          <w:szCs w:val="24"/>
        </w:rPr>
        <w:br/>
        <w:t xml:space="preserve">Ekkor kerül a képbe a dolgozat második fő forrása, a Lex Baiuvariorum. A bajorok törvénye igen gazdag és bonyolult kéziratos hagyománnyal rendelkezik. Akárcsak Szent István dekrétumainak esetében, a Lex Baiuvariorumra vonatkozó szakirodalom sem tárgyalja a tartalomjegyzékek és a törvényszövegek közötti eltéréseket. Dolgozatomban 9-12. századból származó kéziratok mélyreható elemzésével mutatom ki azt, hogy a tartalomjegyzékek sokszor más forrásból származnak, az adott scriptorok nem maguk készítik el őket. Ezáltal a sokszor kevesebb cikkely címét feltüntető tartalomjegyzékek nem hiányosak a főszövegekhez képest, hanem a törvények archaikusabb formáit őrzik.</w:t>
      </w:r>
      <w:r>
        <w:rPr>
          <w:color w:val="000000"/>
          <w:sz w:val="24"/>
          <w:szCs w:val="24"/>
        </w:rPr>
        <w:br/>
        <w:t xml:space="preserve">Ugyanez vonatkoztatható az Admonti Kódexre. Nyugat-európai kontextusba helyezve egyértelműnek tűnik, hogy a tartalomjegyzék egy olyan összeírás emlékét őrzi, amikor államalapító királyunk nevéhez összesen 31 rendelkezés volt köthető.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82786">
    <w:multiLevelType w:val="hybridMultilevel"/>
    <w:lvl w:ilvl="0" w:tplc="75711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82786">
    <w:abstractNumId w:val="84082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614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