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DÉKÁNY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dekanycsaba23@gmail.com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Stefan Balauca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 INSAIT - Institute for Computer Science, Artificial Intelligence and Technology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Folytonos és diszkrét adverzariális tanítási módszerek kombinálása nagy nyelvi modellekben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adverzariális tanítás, nagy nyelvi modell, mesterséges intelligencia, felügyelt tanulás, finomhangolás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folytonos és diszkrét adverzariális tanítási módszerek kombinálásával foglalkoztunk, annak érdekében, hogy a nagy nyelvi modelleket (NNM) adverzariális támadásokkal szemben védetté tegyük. Manapság, a chatbotok és NNM-ek gyors elterjedése miatt különösen fontos, hogy ne generáljanak ártalmas tartalmat.</w:t>
      </w:r>
      <w:r>
        <w:rPr>
          <w:color w:val="000000"/>
          <w:sz w:val="24"/>
          <w:szCs w:val="24"/>
        </w:rPr>
        <w:br/>
        <w:t xml:space="preserve">Az új Mix-AT adverzariális tanítási módszert fejlesztettük ki, ami a CAT módszerre épül. A újdonságot az jelenti, hogy PAP diszkrét adverzariális támadás kerül alkalmazásra a rosszindulatú kérdések egy részén, amelyek az adverzariális tanítás során kerülnek felhasználásra, mielőtt folytonos adverzariális támadást alkalmaznánk ezeken. Továbbá, különböző faktorok hatását is vizsgáltuk az adverzariális tanításra és az NNM-ek kiértékelésére.</w:t>
      </w:r>
      <w:r>
        <w:rPr>
          <w:color w:val="000000"/>
          <w:sz w:val="24"/>
          <w:szCs w:val="24"/>
        </w:rPr>
        <w:br/>
        <w:t xml:space="preserve">A kutatást a nyári szakmai gyakorlatom során végeztem az INSAIT kutatóközpontban. Elkészítettem a keretrendszert az NNM-ek kiértékeléséhez adverzariális és hagyományos adatbázisokon, publikus kódbázisok segítségével. Kitaláltam, hogy a Mix-AT módszerben pontosan hogy valósuljon meg a folytonos és diszkrét adverzariális tanítás kombinálása. Én végeztem a modellek kiértékelését a hagyományos teljesítményi adatbázisokon és az adverzáriális kiértékelések egy részét is, a fő mérések esetében (ahol összehasonlítottuk a Mix-AT módszer teljesítményét, már létező módszerekkel), valamint a további mérések többségének esetében, ami a modell kvantálás, a chat formulák, a LoRA súlyok skálázásának, a PAP tanítási arány és a diszkrét PAP adverzariális támadások folytonos támadások nélküli felhasználásának vizsgálatát jelenti.</w:t>
      </w:r>
      <w:r>
        <w:rPr>
          <w:color w:val="000000"/>
          <w:sz w:val="24"/>
          <w:szCs w:val="24"/>
        </w:rPr>
        <w:br/>
        <w:t xml:space="preserve">A Mix-AT módszer a legjobbnak tekinthető az átfogalmazás alapú adverzariális támadások ellen (PAP, TAP, PAIR, AutoDAN) és megtartja a modell teljesítményét az egyszeres választási kérdéseket tartalmazó adatbázisok esetében (ARC-E, ARC-C, MMLU). Jól teljesít a GCG suffix támadás ellen is a Zephyr-7B modell esetében. Azonban, a Mix-AT módszer alacsony pontszámokat ér el az MT-BENCH adatbázison, amit bizonyos ártalmatlan, többségében “szerepjátszási” stílusban megfogalmozott, kérdésekre való válaszadás visszautasítása okoz. Ezt a limitációt a jövőbeli kutatás során kívánjuk orvosolni.</w:t>
      </w:r>
      <w:r>
        <w:rPr>
          <w:color w:val="000000"/>
          <w:sz w:val="24"/>
          <w:szCs w:val="24"/>
        </w:rPr>
        <w:br/>
        <w:t xml:space="preserve">A Mix-AT módszerből és eredményekből készült cikket az ICML 2025 konferenciára kívánjuk benyújtani, ahol az egyik első-szerzőként leszek feltüntetve.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--- ACM klasszifikáció---</w:t>
      </w:r>
      <w:r>
        <w:rPr>
          <w:color w:val="000000"/>
          <w:sz w:val="24"/>
          <w:szCs w:val="24"/>
        </w:rPr>
        <w:br/>
        <w:t xml:space="preserve">- Computing methodologies / Natural Language Processing</w:t>
      </w:r>
      <w:r>
        <w:rPr>
          <w:color w:val="000000"/>
          <w:sz w:val="24"/>
          <w:szCs w:val="24"/>
        </w:rPr>
        <w:br/>
        <w:t xml:space="preserve">- Computing methodologies / Machine learning</w:t>
      </w:r>
      <w:r>
        <w:rPr>
          <w:color w:val="000000"/>
          <w:sz w:val="24"/>
          <w:szCs w:val="24"/>
        </w:rPr>
        <w:br/>
        <w:t xml:space="preserve">- Computing methodologies / Supervised learning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976610">
    <w:multiLevelType w:val="hybridMultilevel"/>
    <w:lvl w:ilvl="0" w:tplc="89947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976610">
    <w:abstractNumId w:val="589766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92540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