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CSILLA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n2otdg@inf.elte.hu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VPNet elemzése: Megmagyarázhatóság és adat szétválaszthatóság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megmagyarázható mesterséges intelligencia, VPNet, adatok szeparálhatósága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Mesterséges intelligencia (MI) modelleket a közelmúltban sikeresen alkalmaztak számos tudományos és gyakorlati probléma megoldására. Biztonságkritikus területeken, pl. autonóm rendszerek, egészségügy, ahol a teljesítmény mellett az döntéshozatal átláthatósága is fontos szempont, azonban továbbra is csak korlátozottan használhatók a legkorszerűbb MI algoritmusok. Ezt kiküszöbölendő jött létre a megmagyarázható mesterséges intelligencia (XAI) egy kitüntetett területe, a modellvezérelt neurális hálók kutatása, mely ötvözi a matematikai modell alapú megközelítés és az MI adatvezérelt szemléletének előnyeit. Ebbe a kategóriába sorolható a pár éve kifejlesztett ún.\ Variable Projection Network (VPNet) típusú neurális hálók, mely a paraméterezett ortogonális projekciókat kombinálja különféle MI technikákkal.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VPNet első rétege egy tanítható és transzparens dimenziócsökkentő transzformációt valósít meg. A dolgozatban azt vizsgálom, hogy a betanított VP réteg által kinyert jellemzők, hogyan járulnak hozzá az utána kapcsolt háló kimenetéhez különböző osztályozási feladatok (EKG, VEP és kerékszenzoros jelek) estén. A VP jellemzők és a háló által becsült osztálycímkék közötti kapcsolatot a Case-Based Reasoning (CBR) módszer segítségével elemeztem, amely lehetővé teszi, hogy a neurális háló döntéseit korábbi, hasonló esetek alapján értsük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másik fókusza a VP réteg hatása az adatok szeparálhatóságára. Ezt különböző dimenziócsökkentési módszerekkel (PCA, t-SNE, UMAP) és tanuló algoritmusokkal (KNN, SVM) vizsgáltam. Az eredmények alapján a VP réteg jelentősen javította az adatok nemlineáris szeparálhatóságát, amit kvantitatíve is alátámasztottak az elemzett szeparálhatósági mutatók, mint a Silhouette-metrika és a Davies-Bouldin index.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Computing methodologies / Machine learning / Machine learning approaches</w:t>
      </w:r>
      <w:r>
        <w:rPr>
          <w:color w:val="000000"/>
          <w:sz w:val="24"/>
          <w:szCs w:val="24"/>
        </w:rPr>
        <w:br/>
        <w:t xml:space="preserve">Computing methodologies / Machine learning / Learning paradigms / Supervised learning / Supervised learning by classification</w:t>
      </w:r>
      <w:r>
        <w:rPr>
          <w:color w:val="000000"/>
          <w:sz w:val="24"/>
          <w:szCs w:val="24"/>
        </w:rPr>
        <w:br/>
        <w:t xml:space="preserve">Computing methodologies / Machine learning / Machine learning approaches / Learning latent representations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90420">
    <w:multiLevelType w:val="hybridMultilevel"/>
    <w:lvl w:ilvl="0" w:tplc="91518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90420">
    <w:abstractNumId w:val="498904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175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