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HONÉTZY NATÁLIA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nata.honetzy@gmail.com</w:t>
            </w:r>
            <w:r w:rsidRPr="001067CD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Dunamenti REK Pannon Telephely, PTE Humán Reprodukciós Nemzeti Laboratórium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Czétány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szakorvos,  PTE Urológiai Klinika, PTE Humán Reprodukciós Nemzeti Laboratórium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Spermiumok DNS-fragmentáció meghatározása, mint az asszisztált reprodukciós kivizsgálás új iránya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DNS-fragmentáció;Reprodukció;Sperma feldolgozás;Meddőség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meddőség manapság egyre növekvő probléma, ezért tudományos szempontból kiemelten fontos a kutatása. A DNS-fragmentáció károsan befolyásolhatja a megtermékenyítés sikerét, az embrió fejlődését, valamint növelheti a vetélés kockázatát.</w:t>
      </w:r>
      <w:r>
        <w:rPr>
          <w:color w:val="000000"/>
          <w:sz w:val="24"/>
          <w:szCs w:val="24"/>
        </w:rPr>
        <w:br/>
        <w:t xml:space="preserve">Kutatásunk során vizsgáltuk a DNS-fragmentáció hatását a spermiumok funkcionális paramétereire, emellett meghatároztuk a DNS-fragmentációt teljes ejakulátumon, illetve csak élő sejteken. Továbbá a különböző spermium feldolgozási technikák hatását vizsgáltuk a DNS-fragmentációra. Ezek a feldolgozási technikák a következők voltak: sűrűség gradiens centrifugálás (DGC), swim-up (SU) módszer, mágneses sejtszeparálás (MACS), Zymot chip szeparálás. A vizsgálat során a funkcionális paraméterek meghatározása a WHO aktuális kézikönyve alapján történt. A DNS-fragmentációs index meghatározására az SCSA tesztet alkalmaztuk, amelyhez a MACSQuant 16 áramlási citométert és a Cariad SCSA kit-et használtuk.</w:t>
      </w:r>
      <w:r>
        <w:rPr>
          <w:color w:val="000000"/>
          <w:sz w:val="24"/>
          <w:szCs w:val="24"/>
        </w:rPr>
        <w:br/>
        <w:t xml:space="preserve">Retrospektív analízisben 1394 mintán két DNS-fragmentációval rendelkező (DFI&gt;25%; DFI&lt;25%) csoportot vizsgáltunk, melynek során minden vizsgált paraméter esetén szignifikáns kapcsolatot kaptunk. Az alacsonyabb DNS-fragmentációs indexhez (DFI) jobb értékek tartoztak: magasabb koncentráció, motilitás, progresszív motilitás és vitalitás.</w:t>
      </w:r>
      <w:r>
        <w:rPr>
          <w:color w:val="000000"/>
          <w:sz w:val="24"/>
          <w:szCs w:val="24"/>
        </w:rPr>
        <w:br/>
        <w:t xml:space="preserve">A DNS-fragmentáció mérése esetén, melynek során natív ejakulátumban, illetve kapuzott élő spermiumokban mértük a DFI-t, azt az eredményt kaptuk, miszerint az élő sejteknek lényegesen alacsonyabb volt a DFI értéke.</w:t>
      </w:r>
      <w:r>
        <w:rPr>
          <w:color w:val="000000"/>
          <w:sz w:val="24"/>
          <w:szCs w:val="24"/>
        </w:rPr>
        <w:br/>
        <w:t xml:space="preserve">A különböző feldolgozási technikák vizsgálata során azt az eredményt kaptuk, hogy a különböző spermiumfeldolgozási technikák hatékonyan növelik a funkcionális paramétereket (motilitás és vitalitás), mellyel párhuzamosan csökken a minták DFI értéke.</w:t>
      </w:r>
      <w:r>
        <w:rPr>
          <w:color w:val="000000"/>
          <w:sz w:val="24"/>
          <w:szCs w:val="24"/>
        </w:rPr>
        <w:br/>
        <w:t xml:space="preserve">Összességében az eredményeink alapján elmondható, hogy a DFI növekedése káros hatással van a spermium funkcionális paramétereire, különösen a koncentrációra, a motilitásra és a vitalitásra. Ugyanakkor azt is látható, hogy az élő és mozgó spermiumok esetében alacsonyabb DFI-érték figyelhető meg. Munkánk során háromszoros kapcsolatot figyeltünk meg a mozgó/élő spermiumok és az alacsonyabb DFI között, mely felveti azt a kérdést, hogy szükség van-e további szelekciós eljárásokra, ha az élő, mozgó spermiumok természetesen alacsonyabb DFI-vel rendelkeznek, s termékenyítési folyamat 99%-ban csak mozgó/élő spermiummal történik.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23081">
    <w:multiLevelType w:val="hybridMultilevel"/>
    <w:lvl w:ilvl="0" w:tplc="26338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23081">
    <w:abstractNumId w:val="16223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279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